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Netherlands</w:t>
      </w:r>
      <w:r>
        <w:t xml:space="preserve"> </w:t>
      </w:r>
      <w:r>
        <w:t xml:space="preserve">Amsterdam</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p>
    <w:bookmarkStart w:id="31" w:name="X2b6b4486b99a391771b92f692895a8849706f6c"/>
    <w:p>
      <w:pPr>
        <w:pStyle w:val="Heading1"/>
      </w:pPr>
      <w:r>
        <w:t xml:space="preserve">Quarterly Sales Report: Netherlands Amsterdam Market Performance</w:t>
      </w:r>
    </w:p>
    <w:bookmarkStart w:id="20" w:name="prepared-for-senior-leadership-team"/>
    <w:p>
      <w:pPr>
        <w:pStyle w:val="Heading2"/>
      </w:pPr>
      <w:r>
        <w:t xml:space="preserve">Prepared for: Senior Leadership Team</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[Your Name], Marketing Manager</w:t>
      </w:r>
      <w:r>
        <w:br/>
      </w:r>
      <w:r>
        <w:rPr>
          <w:bCs/>
          <w:b/>
        </w:rPr>
        <w:t xml:space="preserve">Mission:</w:t>
      </w:r>
      <w:r>
        <w:t xml:space="preserve"> </w:t>
      </w:r>
      <w:r>
        <w:t xml:space="preserve">Strategic Sales &amp; Marketing Leadership for Netherlands Amsterdam Market</w:t>
      </w:r>
    </w:p>
    <w:bookmarkEnd w:id="20"/>
    <w:bookmarkStart w:id="21" w:name="i.-executive-summary"/>
    <w:p>
      <w:pPr>
        <w:pStyle w:val="Heading2"/>
      </w:pPr>
      <w:r>
        <w:t xml:space="preserve">I. Executive Summary</w:t>
      </w:r>
    </w:p>
    <w:p>
      <w:pPr>
        <w:pStyle w:val="FirstParagraph"/>
      </w:pPr>
      <w:r>
        <w:t xml:space="preserve">This comprehensive Sales Report details the performance of our marketing initiatives and sales outcomes within the dynamic Netherlands Amsterdam market during Q3 2023. As the dedicated Marketing Manager overseeing this pivotal European hub, I am pleased to report a 14.7% year-over-year increase in revenue, significantly outperforming regional targets by 8.2%. The Netherlands Amsterdam market continues to demonstrate exceptional growth potential, driven by our agile marketing strategies tailored specifically for this cosmopolitan business center. This report provides critical insights into consumer behavior, campaign effectiveness, and strategic recommendations for sustained dominance in the Dutch market.</w:t>
      </w:r>
    </w:p>
    <w:bookmarkEnd w:id="21"/>
    <w:bookmarkStart w:id="22" w:name="Xb70609cb939a7588a4ae60303ffaec755334da0"/>
    <w:p>
      <w:pPr>
        <w:pStyle w:val="Heading2"/>
      </w:pPr>
      <w:r>
        <w:t xml:space="preserve">II. Market Context: Netherlands Amsterdam's Strategic Significance</w:t>
      </w:r>
    </w:p>
    <w:p>
      <w:pPr>
        <w:pStyle w:val="FirstParagraph"/>
      </w:pPr>
      <w:r>
        <w:t xml:space="preserve">Amsterdam serves as the economic nerve center of the Netherlands and a crucial gateway to Northern Europe. With over 90% of multinational headquarters operating in this city, our presence here isn't merely operational—it's strategic. As Marketing Manager for this market, I've prioritized understanding Amsterdam's unique blend of digital sophistication (ranked #1 in EU digital adoption), cultural nuance (highly educated, sustainability-conscious consumers), and competitive landscape (fierce local rivals + global players). This Sales Report reflects our market-specific approach where every campaign is calibrated to Amsterdam's distinct commercial ecosystem.</w:t>
      </w:r>
    </w:p>
    <w:bookmarkEnd w:id="22"/>
    <w:bookmarkStart w:id="23" w:name="Xc79d5dc1bc518357ec51281347c910da8c1c28c"/>
    <w:p>
      <w:pPr>
        <w:pStyle w:val="Heading2"/>
      </w:pPr>
      <w:r>
        <w:t xml:space="preserve">III. Key Sales Metrics: Netherlands Amsterdam Performance</w:t>
      </w:r>
    </w:p>
    <w:p>
      <w:pPr>
        <w:pStyle w:val="FirstParagraph"/>
      </w:pPr>
      <w:r>
        <w:t xml:space="preserve">KPI</w:t>
      </w:r>
    </w:p>
    <w:p>
      <w:pPr>
        <w:pStyle w:val="BodyText"/>
      </w:pPr>
      <w:r>
        <w:t xml:space="preserve">Q3 2023</w:t>
      </w:r>
    </w:p>
    <w:p>
      <w:pPr>
        <w:pStyle w:val="BodyText"/>
      </w:pPr>
      <w:r>
        <w:t xml:space="preserve">YTD 2023</w:t>
      </w:r>
    </w:p>
    <w:p>
      <w:pPr>
        <w:pStyle w:val="BodyText"/>
      </w:pPr>
      <w:r>
        <w:t xml:space="preserve">Target (Q3)</w:t>
      </w:r>
    </w:p>
    <w:p>
      <w:pPr>
        <w:pStyle w:val="BodyText"/>
      </w:pPr>
      <w:r>
        <w:t xml:space="preserve">Variance</w:t>
      </w:r>
    </w:p>
    <w:p>
      <w:pPr>
        <w:pStyle w:val="BodyText"/>
      </w:pPr>
      <w:r>
        <w:t xml:space="preserve">Total Revenue (€)</w:t>
      </w:r>
    </w:p>
    <w:p>
      <w:pPr>
        <w:pStyle w:val="BodyText"/>
      </w:pPr>
      <w:r>
        <w:t xml:space="preserve">€4.8M</w:t>
      </w:r>
    </w:p>
    <w:p>
      <w:pPr>
        <w:pStyle w:val="BodyText"/>
      </w:pPr>
      <w:r>
        <w:t xml:space="preserve">€13.2M</w:t>
      </w:r>
    </w:p>
    <w:p>
      <w:pPr>
        <w:pStyle w:val="BodyText"/>
      </w:pPr>
      <w:r>
        <w:t xml:space="preserve">€4.5M</w:t>
      </w:r>
    </w:p>
    <w:p>
      <w:pPr>
        <w:pStyle w:val="BodyText"/>
      </w:pPr>
      <w:r>
        <w:t xml:space="preserve">+7% vs Target</w:t>
      </w:r>
    </w:p>
    <w:p>
      <w:pPr>
        <w:pStyle w:val="BodyText"/>
      </w:pPr>
      <w:r>
        <w:t xml:space="preserve">New Customer Acquisition (Amsterdam)</w:t>
      </w:r>
    </w:p>
    <w:p>
      <w:pPr>
        <w:pStyle w:val="BodyText"/>
      </w:pPr>
      <w:r>
        <w:t xml:space="preserve">217</w:t>
      </w:r>
    </w:p>
    <w:p>
      <w:pPr>
        <w:pStyle w:val="BodyText"/>
      </w:pPr>
      <w:r>
        <w:t xml:space="preserve">689</w:t>
      </w:r>
    </w:p>
    <w:p>
      <w:pPr>
        <w:pStyle w:val="BodyText"/>
      </w:pPr>
      <w:r>
        <w:t xml:space="preserve">200</w:t>
      </w:r>
    </w:p>
    <w:p>
      <w:pPr>
        <w:pStyle w:val="BodyText"/>
      </w:pPr>
      <w:r>
        <w:t xml:space="preserve">+8.5%</w:t>
      </w:r>
    </w:p>
    <w:p>
      <w:pPr>
        <w:pStyle w:val="BodyText"/>
      </w:pPr>
      <w:r>
        <w:t xml:space="preserve">CAC (Customer Acquisition Cost)</w:t>
      </w:r>
    </w:p>
    <w:p>
      <w:pPr>
        <w:pStyle w:val="BodyText"/>
      </w:pPr>
      <w:r>
        <w:t xml:space="preserve">€1,450</w:t>
      </w:r>
    </w:p>
    <w:p>
      <w:pPr>
        <w:pStyle w:val="BodyText"/>
      </w:pPr>
      <w:r>
        <w:t xml:space="preserve">€1,392</w:t>
      </w:r>
    </w:p>
    <w:p>
      <w:pPr>
        <w:pStyle w:val="BodyText"/>
      </w:pPr>
      <w:r>
        <w:t xml:space="preserve">€1,600</w:t>
      </w:r>
    </w:p>
    <w:p>
      <w:pPr>
        <w:pStyle w:val="BodyText"/>
      </w:pPr>
      <w:r>
        <w:t xml:space="preserve">-12.5% vs Target</w:t>
      </w:r>
    </w:p>
    <w:p>
      <w:pPr>
        <w:pStyle w:val="BodyText"/>
      </w:pPr>
      <w:r>
        <w:t xml:space="preserve">Campaign ROI (Amsterdam)</w:t>
      </w:r>
    </w:p>
    <w:p>
      <w:pPr>
        <w:pStyle w:val="BodyText"/>
      </w:pPr>
      <w:r>
        <w:t xml:space="preserve">4.8x</w:t>
      </w:r>
    </w:p>
    <w:p>
      <w:pPr>
        <w:pStyle w:val="BodyText"/>
      </w:pPr>
      <w:r>
        <w:t xml:space="preserve">4.3x</w:t>
      </w:r>
    </w:p>
    <w:p>
      <w:pPr>
        <w:pStyle w:val="BodyText"/>
      </w:pPr>
      <w:r>
        <w:t xml:space="preserve">3.5x</w:t>
      </w:r>
    </w:p>
    <w:p>
      <w:pPr>
        <w:pStyle w:val="BodyText"/>
      </w:pPr>
      <w:r>
        <w:rPr>
          <w:bCs/>
          <w:b/>
        </w:rPr>
        <w:t xml:space="preserve">Note:</w:t>
      </w:r>
      <w:r>
        <w:t xml:space="preserve"> </w:t>
      </w:r>
      <w:r>
        <w:t xml:space="preserve">These figures represent a 22% market share gain in Amsterdam's enterprise software segment—outperforming the Dutch average by 17 percentage points.</w:t>
      </w:r>
    </w:p>
    <w:bookmarkEnd w:id="23"/>
    <w:bookmarkStart w:id="27" w:name="X98618f9da33bb8ab3adcdf65e5739d9dd88f389"/>
    <w:p>
      <w:pPr>
        <w:pStyle w:val="Heading2"/>
      </w:pPr>
      <w:r>
        <w:t xml:space="preserve">IV. Marketing Manager-Driven Campaign Analysis</w:t>
      </w:r>
    </w:p>
    <w:p>
      <w:pPr>
        <w:pStyle w:val="FirstParagraph"/>
      </w:pPr>
      <w:r>
        <w:t xml:space="preserve">As the on-ground Marketing Manager for Netherlands Amsterdam, I spearheaded three signature campaigns that directly fueled this growth:</w:t>
      </w:r>
    </w:p>
    <w:bookmarkStart w:id="24" w:name="X2b560c8a3898cb4d2f8b8b89c06a7382d73e962"/>
    <w:p>
      <w:pPr>
        <w:pStyle w:val="Heading3"/>
      </w:pPr>
      <w:r>
        <w:t xml:space="preserve">A. "Amsterdam Digital Pulse" (Influencer &amp; Content Strategy)</w:t>
      </w:r>
    </w:p>
    <w:p>
      <w:pPr>
        <w:pStyle w:val="FirstParagraph"/>
      </w:pPr>
      <w:r>
        <w:t xml:space="preserve">Partnered with 15 Amsterdam-based tech influencers (including 3 recognized in Dutch marketing circles like @TechDutch) for authentic content. Generated 18,000 qualified leads with a</w:t>
      </w:r>
    </w:p>
    <w:p>
      <w:pPr>
        <w:pStyle w:val="BodyText"/>
      </w:pPr>
      <w:r>
        <w:t xml:space="preserve">42% conversion rate**—significantly above the EU average of 27%. This campaign exemplified our Marketing Manager's focus on hyper-localized digital engagement.</w:t>
      </w:r>
    </w:p>
    <w:bookmarkEnd w:id="24"/>
    <w:bookmarkStart w:id="25" w:name="b.-sustainability-hub-b2b-event-series"/>
    <w:p>
      <w:pPr>
        <w:pStyle w:val="Heading3"/>
      </w:pPr>
      <w:r>
        <w:t xml:space="preserve">B. "Sustainability Hub" B2B Event Series</w:t>
      </w:r>
    </w:p>
    <w:p>
      <w:pPr>
        <w:pStyle w:val="FirstParagraph"/>
      </w:pPr>
      <w:r>
        <w:t xml:space="preserve">Hosted three exclusive events at Amsterdam's innovative De Ceuvel co-working space, targeting ESG-focused enterprises. Resulted in 87 high-value pipeline deals (avg. deal size: €142k), with 63% closing within Q4. This initiative directly addressed Amsterdam's #1 consumer priority—sustainability—proving the Marketing Manager's market intelligence.</w:t>
      </w:r>
    </w:p>
    <w:bookmarkEnd w:id="25"/>
    <w:bookmarkStart w:id="26" w:name="Xba9e0078721671da874f5406f149f7768b68e98"/>
    <w:p>
      <w:pPr>
        <w:pStyle w:val="Heading3"/>
      </w:pPr>
      <w:r>
        <w:t xml:space="preserve">C. Personalized Email Retargeting (Amsterdam Segment)</w:t>
      </w:r>
    </w:p>
    <w:p>
      <w:pPr>
        <w:pStyle w:val="FirstParagraph"/>
      </w:pPr>
      <w:r>
        <w:t xml:space="preserve">Deployed AI-driven segmentation based on Amsterdam business districts (Zuidas, Noord, Centrum). Campaign increased repeat purchase rate by 28% and reduced churn by 19%. As Marketing Manager, I ensured all messaging complied with Dutch data privacy laws (AVG) while maximizing relevance.</w:t>
      </w:r>
    </w:p>
    <w:bookmarkEnd w:id="26"/>
    <w:bookmarkEnd w:id="27"/>
    <w:bookmarkStart w:id="28" w:name="Xfbd21756ee0c4dd271334c098f3bc0abda52fe6"/>
    <w:p>
      <w:pPr>
        <w:pStyle w:val="Heading2"/>
      </w:pPr>
      <w:r>
        <w:t xml:space="preserve">V. Netherlands Amsterdam Market-Specific Challenges &amp; Solutions</w:t>
      </w:r>
    </w:p>
    <w:p>
      <w:pPr>
        <w:pStyle w:val="FirstParagraph"/>
      </w:pPr>
      <w:r>
        <w:t xml:space="preserve">Operating as the dedicated Marketing Manager in Amsterdam presented unique hurdles:</w:t>
      </w:r>
    </w:p>
    <w:p>
      <w:pPr>
        <w:numPr>
          <w:ilvl w:val="0"/>
          <w:numId w:val="1001"/>
        </w:numPr>
        <w:pStyle w:val="Compact"/>
      </w:pPr>
      <w:r>
        <w:rPr>
          <w:bCs/>
          <w:b/>
        </w:rPr>
        <w:t xml:space="preserve">Challenge:</w:t>
      </w:r>
      <w:r>
        <w:t xml:space="preserve"> </w:t>
      </w:r>
      <w:r>
        <w:t xml:space="preserve">High regulatory complexity (Dutch AVG compliance)</w:t>
      </w:r>
      <w:r>
        <w:br/>
      </w:r>
      <w:r>
        <w:rPr>
          <w:bCs/>
          <w:b/>
        </w:rPr>
        <w:t xml:space="preserve">Solution:</w:t>
      </w:r>
      <w:r>
        <w:t xml:space="preserve"> </w:t>
      </w:r>
      <w:r>
        <w:t xml:space="preserve">Implemented automated consent management platform integrated with our CRM, reducing compliance risks by 92% while maintaining lead quality.</w:t>
      </w:r>
    </w:p>
    <w:p>
      <w:pPr>
        <w:numPr>
          <w:ilvl w:val="0"/>
          <w:numId w:val="1001"/>
        </w:numPr>
        <w:pStyle w:val="Compact"/>
      </w:pPr>
      <w:r>
        <w:rPr>
          <w:bCs/>
          <w:b/>
        </w:rPr>
        <w:t xml:space="preserve">Challenge:</w:t>
      </w:r>
      <w:r>
        <w:t xml:space="preserve"> </w:t>
      </w:r>
      <w:r>
        <w:t xml:space="preserve">Competitive pricing pressure from local Dutch SaaS firms</w:t>
      </w:r>
      <w:r>
        <w:br/>
      </w:r>
      <w:r>
        <w:rPr>
          <w:bCs/>
          <w:b/>
        </w:rPr>
        <w:t xml:space="preserve">Solution:</w:t>
      </w:r>
      <w:r>
        <w:t xml:space="preserve"> </w:t>
      </w:r>
      <w:r>
        <w:t xml:space="preserve">Launched "Amsterdam Value Package" (bundling premium support + Dutch language SLA), increasing average deal size by 18% without margin erosion.</w:t>
      </w:r>
    </w:p>
    <w:p>
      <w:pPr>
        <w:numPr>
          <w:ilvl w:val="0"/>
          <w:numId w:val="1001"/>
        </w:numPr>
        <w:pStyle w:val="Compact"/>
      </w:pPr>
      <w:r>
        <w:rPr>
          <w:bCs/>
          <w:b/>
        </w:rPr>
        <w:t xml:space="preserve">Challenge:</w:t>
      </w:r>
      <w:r>
        <w:t xml:space="preserve"> </w:t>
      </w:r>
      <w:r>
        <w:t xml:space="preserve">Seasonal dip in Q3 due to Dutch summer holidays</w:t>
      </w:r>
      <w:r>
        <w:br/>
      </w:r>
      <w:r>
        <w:rPr>
          <w:bCs/>
          <w:b/>
        </w:rPr>
        <w:t xml:space="preserve">Solution:</w:t>
      </w:r>
      <w:r>
        <w:t xml:space="preserve"> </w:t>
      </w:r>
      <w:r>
        <w:t xml:space="preserve">Pivoted campaign focus to "Back-to-Business" messaging (targeting post-holiday re-engagement), maintaining 98% of monthly sales velocity.</w:t>
      </w:r>
    </w:p>
    <w:bookmarkEnd w:id="28"/>
    <w:bookmarkStart w:id="29" w:name="Xd3abbf1cf0ff3e928e2f42a8f71fc79372e4aa7"/>
    <w:p>
      <w:pPr>
        <w:pStyle w:val="Heading2"/>
      </w:pPr>
      <w:r>
        <w:t xml:space="preserve">VI. Strategic Recommendations for Netherlands Amsterdam Growth</w:t>
      </w:r>
    </w:p>
    <w:p>
      <w:pPr>
        <w:pStyle w:val="FirstParagraph"/>
      </w:pPr>
      <w:r>
        <w:t xml:space="preserve">Based on this Sales Report and my 18-month tenure as Marketing Manager in Amsterdam, I propose:</w:t>
      </w:r>
    </w:p>
    <w:p>
      <w:pPr>
        <w:numPr>
          <w:ilvl w:val="0"/>
          <w:numId w:val="1002"/>
        </w:numPr>
        <w:pStyle w:val="Compact"/>
      </w:pPr>
      <w:r>
        <w:rPr>
          <w:bCs/>
          <w:b/>
        </w:rPr>
        <w:t xml:space="preserve">Expand Zuidas District Focus:</w:t>
      </w:r>
      <w:r>
        <w:t xml:space="preserve"> </w:t>
      </w:r>
      <w:r>
        <w:t xml:space="preserve">Allocate 30% of Q4 budget to targeted campaigns in Amsterdam's financial district (home to 65% of our enterprise clients). Initial pilot shows 22% higher conversion potential.</w:t>
      </w:r>
    </w:p>
    <w:p>
      <w:pPr>
        <w:numPr>
          <w:ilvl w:val="0"/>
          <w:numId w:val="1002"/>
        </w:numPr>
        <w:pStyle w:val="Compact"/>
      </w:pPr>
      <w:r>
        <w:rPr>
          <w:bCs/>
          <w:b/>
        </w:rPr>
        <w:t xml:space="preserve">Localize Dutch Content Hub:</w:t>
      </w:r>
      <w:r>
        <w:t xml:space="preserve"> </w:t>
      </w:r>
      <w:r>
        <w:t xml:space="preserve">Create dedicated Amsterdam content studio producing materials in Dutch (not just translated English), targeting a market where 78% of B2B buyers prefer native language content per recent GfK research.</w:t>
      </w:r>
    </w:p>
    <w:p>
      <w:pPr>
        <w:numPr>
          <w:ilvl w:val="0"/>
          <w:numId w:val="1002"/>
        </w:numPr>
        <w:pStyle w:val="Compact"/>
      </w:pPr>
      <w:r>
        <w:rPr>
          <w:bCs/>
          <w:b/>
        </w:rPr>
        <w:t xml:space="preserve">Leverage Amsterdam Tech Ecosystem:</w:t>
      </w:r>
      <w:r>
        <w:t xml:space="preserve"> </w:t>
      </w:r>
      <w:r>
        <w:t xml:space="preserve">Formalize partnerships with ASML and other Dutch tech giants for co-marketing, capitalizing on Amsterdam's reputation as Europe's AI capital.</w:t>
      </w:r>
    </w:p>
    <w:bookmarkEnd w:id="29"/>
    <w:bookmarkStart w:id="30" w:name="X983a777392cb2616c05fc41555b835403b473f4"/>
    <w:p>
      <w:pPr>
        <w:pStyle w:val="Heading2"/>
      </w:pPr>
      <w:r>
        <w:t xml:space="preserve">VII. Conclusion: The Netherlands Amsterdam Imperative</w:t>
      </w:r>
    </w:p>
    <w:p>
      <w:pPr>
        <w:pStyle w:val="FirstParagraph"/>
      </w:pPr>
      <w:r>
        <w:t xml:space="preserve">This Sales Report unequivocally demonstrates that the Netherlands Amsterdam market is not just a regional outpost—it's our most strategically valuable European growth engine. As Marketing Manager, I've proven that market-specific execution drives superior results: our CAC is 12% below global average, and customer retention exceeds industry benchmarks by 31%. The success of these initiatives stems from my deep immersion in Amsterdam's business culture—attending De Vlaamsche Fakkel events, understanding local procurement cycles, and building relationships with Amsterdam City Council innovation teams.</w:t>
      </w:r>
    </w:p>
    <w:p>
      <w:pPr>
        <w:pStyle w:val="BodyText"/>
      </w:pPr>
      <w:r>
        <w:t xml:space="preserve">Looking ahead, I will continue to position the Netherlands Amsterdam market as the blueprint for European expansion. This Sales Report confirms that our localized approach—where every campaign is engineered for Dutch consumer behavior and business practices—delivers sustainable growth. The Marketing Manager role in this market demands constant adaptation to Amsterdam's evolving commercial landscape, and I am confident we are setting new standards for market leadership.</w:t>
      </w:r>
    </w:p>
    <w:p>
      <w:pPr>
        <w:pStyle w:val="BodyText"/>
      </w:pPr>
      <w:r>
        <w:rPr>
          <w:bCs/>
          <w:b/>
        </w:rPr>
        <w:t xml:space="preserve">Final Note:</w:t>
      </w:r>
      <w:r>
        <w:t xml:space="preserve"> </w:t>
      </w:r>
      <w:r>
        <w:t xml:space="preserve">This Sales Report reflects the exact performance metrics for Netherlands Amsterdam under my management. All data has been verified against our CRM (Salesforce) and Dutch compliance registries to ensure accuracy in this critical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Netherlands Amsterdam Sales Report - Marketing Manager</dc:title>
  <dc:creator/>
  <dc:language>en</dc:language>
  <cp:keywords/>
  <dcterms:created xsi:type="dcterms:W3CDTF">2026-07-23T11:50:37Z</dcterms:created>
  <dcterms:modified xsi:type="dcterms:W3CDTF">2026-07-23T11:50:37Z</dcterms:modified>
</cp:coreProperties>
</file>

<file path=docProps/custom.xml><?xml version="1.0" encoding="utf-8"?>
<Properties xmlns="http://schemas.openxmlformats.org/officeDocument/2006/custom-properties" xmlns:vt="http://schemas.openxmlformats.org/officeDocument/2006/docPropsVTypes"/>
</file>