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88ba0eff43911b08230f5c4c413d4294d2708bf"/>
    <w:p>
      <w:pPr>
        <w:pStyle w:val="Heading1"/>
      </w:pPr>
      <w:r>
        <w:t xml:space="preserve">Q3 2024 Comprehensive Sales Performance Report: Marketing Manager Strategy &amp; Results in South Korea Seoul Market</w:t>
      </w:r>
    </w:p>
    <w:bookmarkStart w:id="20" w:name="executive-summary"/>
    <w:p>
      <w:pPr>
        <w:pStyle w:val="Heading2"/>
      </w:pPr>
      <w:r>
        <w:t xml:space="preserve">Executive Summary</w:t>
      </w:r>
    </w:p>
    <w:p>
      <w:pPr>
        <w:pStyle w:val="FirstParagraph"/>
      </w:pPr>
      <w:r>
        <w:t xml:space="preserve">This Sales Report details the strategic execution and financial outcomes under the leadership of our dedicated Marketing Manager for the South Korea Seoul market during Q3 2024. Operating within one of Asia's most dynamic consumer landscapes, the Marketing Manager successfully navigated intense competition, shifting cultural trends, and post-pandemic recovery dynamics. The focused initiatives resulted in a 15.8% year-over-year sales growth (exceeding the 10% target) and a 22.4% increase in customer acquisition within Seoul's premium retail corridors. This report validates the Marketing Manager's agility in adapting global brand strategies to Seoul's unique socio-economic context, directly contributing to our regional market leadership position.</w:t>
      </w:r>
    </w:p>
    <w:bookmarkEnd w:id="20"/>
    <w:bookmarkStart w:id="21" w:name="key-performance-metrics-seoul-market"/>
    <w:p>
      <w:pPr>
        <w:pStyle w:val="Heading2"/>
      </w:pPr>
      <w:r>
        <w:t xml:space="preserve">Key Performance Metrics (Seoul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Sales Revenue (Seoul)</w:t>
            </w:r>
          </w:p>
        </w:tc>
        <w:tc>
          <w:tcPr/>
          <w:p>
            <w:pPr>
              <w:pStyle w:val="Compact"/>
              <w:jc w:val="left"/>
            </w:pPr>
            <w:r>
              <w:t xml:space="preserve">$8.7M</w:t>
            </w:r>
          </w:p>
        </w:tc>
        <w:tc>
          <w:tcPr/>
          <w:p>
            <w:pPr>
              <w:pStyle w:val="Compact"/>
              <w:jc w:val="left"/>
            </w:pPr>
            <w:r>
              <w:t xml:space="preserve">$7.5M</w:t>
            </w:r>
          </w:p>
        </w:tc>
        <w:tc>
          <w:tcPr/>
          <w:p>
            <w:pPr>
              <w:pStyle w:val="Compact"/>
              <w:jc w:val="left"/>
            </w:pPr>
            <w:r>
              <w:t xml:space="preserve">+15.8%</w:t>
            </w:r>
          </w:p>
        </w:tc>
      </w:tr>
      <w:tr>
        <w:tc>
          <w:tcPr/>
          <w:p>
            <w:pPr>
              <w:pStyle w:val="Compact"/>
              <w:jc w:val="left"/>
            </w:pPr>
            <w:r>
              <w:t xml:space="preserve">Customer Acquisition Cost (CAC)</w:t>
            </w:r>
          </w:p>
        </w:tc>
        <w:tc>
          <w:tcPr/>
          <w:p>
            <w:pPr>
              <w:pStyle w:val="Compact"/>
              <w:jc w:val="left"/>
            </w:pPr>
            <w:r>
              <w:t xml:space="preserve">$32.60</w:t>
            </w:r>
          </w:p>
        </w:tc>
        <w:tc>
          <w:tcPr/>
          <w:p>
            <w:pPr>
              <w:pStyle w:val="Compact"/>
              <w:jc w:val="left"/>
            </w:pPr>
            <w:r>
              <w:t xml:space="preserve">$41.90</w:t>
            </w:r>
          </w:p>
        </w:tc>
        <w:tc>
          <w:tcPr/>
          <w:p>
            <w:pPr>
              <w:pStyle w:val="Compact"/>
              <w:jc w:val="left"/>
            </w:pPr>
            <w:r>
              <w:t xml:space="preserve">-22.2%</w:t>
            </w:r>
          </w:p>
        </w:tc>
      </w:tr>
      <w:tr>
        <w:tc>
          <w:tcPr/>
          <w:p>
            <w:pPr>
              <w:pStyle w:val="Compact"/>
              <w:jc w:val="left"/>
            </w:pPr>
            <w:r>
              <w:t xml:space="preserve">Net Promoter Score (NPS)</w:t>
            </w:r>
          </w:p>
        </w:tc>
        <w:tc>
          <w:tcPr/>
          <w:p>
            <w:pPr>
              <w:pStyle w:val="Compact"/>
              <w:jc w:val="left"/>
            </w:pPr>
            <w:r>
              <w:t xml:space="preserve">78</w:t>
            </w:r>
          </w:p>
        </w:tc>
        <w:tc>
          <w:tcPr/>
          <w:p>
            <w:pPr>
              <w:pStyle w:val="Compact"/>
              <w:jc w:val="left"/>
            </w:pPr>
            <w:r>
              <w:t xml:space="preserve">69</w:t>
            </w:r>
          </w:p>
        </w:tc>
        <w:tc>
          <w:tcPr/>
          <w:p>
            <w:pPr>
              <w:pStyle w:val="Compact"/>
              <w:jc w:val="left"/>
            </w:pPr>
            <w:r>
              <w:t xml:space="preserve">+9 pts</w:t>
            </w:r>
          </w:p>
        </w:tc>
      </w:tr>
      <w:tr>
        <w:tc>
          <w:tcPr/>
          <w:p>
            <w:pPr>
              <w:pStyle w:val="Compact"/>
              <w:jc w:val="left"/>
            </w:pPr>
            <w:r>
              <w:t xml:space="preserve">Social Media Engagement Rate (Seoul)</w:t>
            </w:r>
          </w:p>
        </w:tc>
        <w:tc>
          <w:tcPr/>
          <w:p>
            <w:pPr>
              <w:pStyle w:val="Compact"/>
              <w:jc w:val="left"/>
            </w:pPr>
            <w:r>
              <w:t xml:space="preserve">14.3%</w:t>
            </w:r>
          </w:p>
        </w:tc>
        <w:tc>
          <w:tcPr/>
          <w:p>
            <w:pPr>
              <w:pStyle w:val="Compact"/>
              <w:jc w:val="left"/>
            </w:pPr>
            <w:r>
              <w:t xml:space="preserve">8.7%</w:t>
            </w:r>
          </w:p>
        </w:tc>
        <w:tc>
          <w:tcPr/>
          <w:p>
            <w:pPr>
              <w:pStyle w:val="Compact"/>
              <w:jc w:val="left"/>
            </w:pPr>
            <w:r>
              <w:t xml:space="preserve">+65.5%</w:t>
            </w:r>
          </w:p>
        </w:tc>
      </w:tr>
    </w:tbl>
    <w:p>
      <w:pPr>
        <w:pStyle w:val="BodyText"/>
      </w:pPr>
      <w:r>
        <w:t xml:space="preserve">The Marketing Manager's targeted digital campaigns in Seoul achieved exceptional results, particularly through integrated KakaoTalk and Instagram strategies. The 22.4% reduction in CAC demonstrates the Marketing Manager's mastery of cost-efficient engagement within South Korea's highly saturated social media environment, where platforms like KAKAO are non-negotiable for consumer reach.</w:t>
      </w:r>
    </w:p>
    <w:bookmarkEnd w:id="21"/>
    <w:bookmarkStart w:id="22" w:name="X1d8739f5f2379f51364343c55d6115554496d39"/>
    <w:p>
      <w:pPr>
        <w:pStyle w:val="Heading2"/>
      </w:pPr>
      <w:r>
        <w:t xml:space="preserve">Market Analysis: Seoul Consumer Behavior Shifts</w:t>
      </w:r>
    </w:p>
    <w:p>
      <w:pPr>
        <w:pStyle w:val="FirstParagraph"/>
      </w:pPr>
      <w:r>
        <w:t xml:space="preserve">South Korea Seoul represents a market of extreme cultural nuance. The Marketing Manager conducted deep ethnographic research identifying three critical trends:</w:t>
      </w:r>
    </w:p>
    <w:p>
      <w:pPr>
        <w:numPr>
          <w:ilvl w:val="0"/>
          <w:numId w:val="1001"/>
        </w:numPr>
        <w:pStyle w:val="Compact"/>
      </w:pPr>
      <w:r>
        <w:rPr>
          <w:bCs/>
          <w:b/>
        </w:rPr>
        <w:t xml:space="preserve">Premiumization &amp; K-Beauty Fusion:</w:t>
      </w:r>
      <w:r>
        <w:t xml:space="preserve"> </w:t>
      </w:r>
      <w:r>
        <w:t xml:space="preserve">68% of Seoul consumers now prioritize "K-beauty experience" alongside product efficacy. The Marketing Manager rapidly pivoted campaign assets to feature local beauty influencers like @GangnamGlow, directly driving a 32% sales lift in premium skincare lines within Seoul's upscale districts (Gangnam, Hongdae).</w:t>
      </w:r>
    </w:p>
    <w:p>
      <w:pPr>
        <w:numPr>
          <w:ilvl w:val="0"/>
          <w:numId w:val="1001"/>
        </w:numPr>
        <w:pStyle w:val="Compact"/>
      </w:pPr>
      <w:r>
        <w:rPr>
          <w:bCs/>
          <w:b/>
        </w:rPr>
        <w:t xml:space="preserve">Seasonal Event Integration:</w:t>
      </w:r>
      <w:r>
        <w:t xml:space="preserve"> </w:t>
      </w:r>
      <w:r>
        <w:t xml:space="preserve">Capitalizing on Chuseok (Korean Mid-Autumn Festival), the Marketing Manager designed limited-edition gift sets with traditional hanbok-inspired packaging. This initiative generated $1.2M in sales during the 3-week festival window – representing 14% of total Q3 Seoul revenue.</w:t>
      </w:r>
    </w:p>
    <w:p>
      <w:pPr>
        <w:numPr>
          <w:ilvl w:val="0"/>
          <w:numId w:val="1001"/>
        </w:numPr>
        <w:pStyle w:val="Compact"/>
      </w:pPr>
      <w:r>
        <w:rPr>
          <w:bCs/>
          <w:b/>
        </w:rPr>
        <w:t xml:space="preserve">Hyper-Localized Digital Experience:</w:t>
      </w:r>
      <w:r>
        <w:t xml:space="preserve"> </w:t>
      </w:r>
      <w:r>
        <w:t xml:space="preserve">Leveraging Seoul's unparalleled smartphone penetration (98%), the Marketing Manager deployed AR filters on Instagram showcasing products in iconic Seoul locations (Namsan Tower, Myeongdong). This drove a 41% increase in online conversion rates among users aged 18-35.</w:t>
      </w:r>
    </w:p>
    <w:bookmarkEnd w:id="22"/>
    <w:bookmarkStart w:id="23" w:name="Xa6b54093f7bbcd7cb8392163ada2a999cfb8998"/>
    <w:p>
      <w:pPr>
        <w:pStyle w:val="Heading2"/>
      </w:pPr>
      <w:r>
        <w:t xml:space="preserve">Strategic Initiatives Led by the Marketing Manager</w:t>
      </w:r>
    </w:p>
    <w:p>
      <w:pPr>
        <w:pStyle w:val="FirstParagraph"/>
      </w:pPr>
      <w:r>
        <w:t xml:space="preserve">The Marketing Manager's Q3 strategy centered on three pillars, all meticulously tailored for South Korea Seoul's unique ecosystem:</w:t>
      </w:r>
    </w:p>
    <w:p>
      <w:pPr>
        <w:numPr>
          <w:ilvl w:val="0"/>
          <w:numId w:val="1002"/>
        </w:numPr>
        <w:pStyle w:val="Compact"/>
      </w:pPr>
      <w:r>
        <w:rPr>
          <w:bCs/>
          <w:b/>
        </w:rPr>
        <w:t xml:space="preserve">Localized Content Ecosystem:</w:t>
      </w:r>
      <w:r>
        <w:t xml:space="preserve"> </w:t>
      </w:r>
      <w:r>
        <w:t xml:space="preserve">Replaced generic global content with Seoul-specific narratives. Collaborated with popular Korean lifestyle podcasts (e.g., "Seoul Foodies") to showcase product integration in daily Seoul life, increasing brand recall by 37% among target demographics.</w:t>
      </w:r>
    </w:p>
    <w:p>
      <w:pPr>
        <w:numPr>
          <w:ilvl w:val="0"/>
          <w:numId w:val="1002"/>
        </w:numPr>
        <w:pStyle w:val="Compact"/>
      </w:pPr>
      <w:r>
        <w:rPr>
          <w:bCs/>
          <w:b/>
        </w:rPr>
        <w:t xml:space="preserve">Loyalty Program Optimization:</w:t>
      </w:r>
      <w:r>
        <w:t xml:space="preserve"> </w:t>
      </w:r>
      <w:r>
        <w:t xml:space="preserve">Launched a points system where customers earn double rewards for visits to Seoul flagship stores (Gangnam, COEX Mall). This drove a 28% increase in repeat purchases within the city – directly addressing Seoul's high-value customer retention needs.</w:t>
      </w:r>
    </w:p>
    <w:p>
      <w:pPr>
        <w:numPr>
          <w:ilvl w:val="0"/>
          <w:numId w:val="1002"/>
        </w:numPr>
        <w:pStyle w:val="Compact"/>
      </w:pPr>
      <w:r>
        <w:rPr>
          <w:bCs/>
          <w:b/>
        </w:rPr>
        <w:t xml:space="preserve">Partnership Strategy:</w:t>
      </w:r>
      <w:r>
        <w:t xml:space="preserve"> </w:t>
      </w:r>
      <w:r>
        <w:t xml:space="preserve">Forged exclusive collaborations with Seoul-based cultural institutions. A partnership with Lotte Department Store for a "K-Pop x Luxury" pop-up event during BTS's global tour generated 500K+ social impressions and $450K in direct sales.</w:t>
      </w:r>
    </w:p>
    <w:bookmarkEnd w:id="23"/>
    <w:bookmarkStart w:id="24" w:name="X4a380760f91d0867a70015a13863666167b26ad"/>
    <w:p>
      <w:pPr>
        <w:pStyle w:val="Heading2"/>
      </w:pPr>
      <w:r>
        <w:t xml:space="preserve">Challenges &amp; Solutions Implemented by the Marketing Manager</w:t>
      </w:r>
    </w:p>
    <w:p>
      <w:pPr>
        <w:pStyle w:val="FirstParagraph"/>
      </w:pPr>
      <w:r>
        <w:t xml:space="preserve">The South Korea Seoul market presented acute challenges requiring rapid adaptation:</w:t>
      </w:r>
    </w:p>
    <w:p>
      <w:pPr>
        <w:pStyle w:val="BodyText"/>
      </w:pPr>
      <w:r>
        <w:rPr>
          <w:bCs/>
          <w:b/>
        </w:rPr>
        <w:t xml:space="preserve">Challenge 1: Regulatory Shifts in Digital Advertising</w:t>
      </w:r>
      <w:r>
        <w:br/>
      </w:r>
      <w:r>
        <w:t xml:space="preserve">The Korean Communications Commission tightened data privacy laws in Q3. The Marketing Manager swiftly revised all Seoul campaigns to comply with the new regulations within 72 hours, ensuring zero campaign disruptions. This proactive approach preserved $250K+ in marketing budget that would have been lost to compliance penalties.</w:t>
      </w:r>
    </w:p>
    <w:p>
      <w:pPr>
        <w:pStyle w:val="BodyText"/>
      </w:pPr>
      <w:r>
        <w:rPr>
          <w:bCs/>
          <w:b/>
        </w:rPr>
        <w:t xml:space="preserve">Challenge 2: Competitive Pressure from Local Brands</w:t>
      </w:r>
      <w:r>
        <w:br/>
      </w:r>
      <w:r>
        <w:t xml:space="preserve">Major Korean beauty brands launched aggressive price-matching during Seoul's summer festival season. The Marketing Manager countered by emphasizing the brand's global R&amp;D credentials through exclusive "Behind-the-Scenes" content filmed at Seoul laboratories, successfully protecting market share with a 5% price premium.</w:t>
      </w:r>
    </w:p>
    <w:p>
      <w:pPr>
        <w:pStyle w:val="BodyText"/>
      </w:pPr>
      <w:r>
        <w:rPr>
          <w:bCs/>
          <w:b/>
        </w:rPr>
        <w:t xml:space="preserve">Challenge 3: Supply Chain Disruptions</w:t>
      </w:r>
      <w:r>
        <w:br/>
      </w:r>
      <w:r>
        <w:t xml:space="preserve">A key component shortage threatened Seoul flagship store inventory. The Marketing Manager orchestrated a rapid pivot to locally sourced Korean materials for limited editions, turning a potential sales loss into a culturally resonant product line that drove 22% higher-than-expected sales.</w:t>
      </w:r>
    </w:p>
    <w:bookmarkEnd w:id="24"/>
    <w:bookmarkStart w:id="25" w:name="Xd386e13a84fc869fcfe315ab31e7dc68190959c"/>
    <w:p>
      <w:pPr>
        <w:pStyle w:val="Heading2"/>
      </w:pPr>
      <w:r>
        <w:t xml:space="preserve">Recommendations for Q4: Marketing Manager Strategic Roadmap</w:t>
      </w:r>
    </w:p>
    <w:p>
      <w:pPr>
        <w:pStyle w:val="FirstParagraph"/>
      </w:pPr>
      <w:r>
        <w:t xml:space="preserve">Building on Q3's success, the Marketing Manager proposes the following Seoul-specific priorities:</w:t>
      </w:r>
    </w:p>
    <w:p>
      <w:pPr>
        <w:numPr>
          <w:ilvl w:val="0"/>
          <w:numId w:val="1003"/>
        </w:numPr>
        <w:pStyle w:val="Compact"/>
      </w:pPr>
      <w:r>
        <w:rPr>
          <w:bCs/>
          <w:b/>
        </w:rPr>
        <w:t xml:space="preserve">Expand Influencer Network to Regional Seoul Micro-Influencers:</w:t>
      </w:r>
      <w:r>
        <w:t xml:space="preserve"> </w:t>
      </w:r>
      <w:r>
        <w:t xml:space="preserve">Targeting 20+ niche creators in neighborhoods like Itaewon and Eunpyeong for hyper-localized content.</w:t>
      </w:r>
    </w:p>
    <w:p>
      <w:pPr>
        <w:numPr>
          <w:ilvl w:val="0"/>
          <w:numId w:val="1003"/>
        </w:numPr>
        <w:pStyle w:val="Compact"/>
      </w:pPr>
      <w:r>
        <w:rPr>
          <w:bCs/>
          <w:b/>
        </w:rPr>
        <w:t xml:space="preserve">Leverage Seoul's Winter Festive Season:</w:t>
      </w:r>
      <w:r>
        <w:t xml:space="preserve"> </w:t>
      </w:r>
      <w:r>
        <w:t xml:space="preserve">Developing a "Seoul Lantern Festival" campaign with co-branded products, targeting the $1.8B luxury gifting market.</w:t>
      </w:r>
    </w:p>
    <w:p>
      <w:pPr>
        <w:numPr>
          <w:ilvl w:val="0"/>
          <w:numId w:val="1003"/>
        </w:numPr>
        <w:pStyle w:val="Compact"/>
      </w:pPr>
      <w:r>
        <w:rPr>
          <w:bCs/>
          <w:b/>
        </w:rPr>
        <w:t xml:space="preserve">AI-Powered Personalization:</w:t>
      </w:r>
      <w:r>
        <w:t xml:space="preserve"> </w:t>
      </w:r>
      <w:r>
        <w:t xml:space="preserve">Implementing machine learning tools to tailor Seoul customer journeys based on real-time data from Seoul's high-traffic locations (e.g., adjusting offers near Lotte World Tower).</w:t>
      </w:r>
    </w:p>
    <w:p>
      <w:pPr>
        <w:pStyle w:val="FirstParagraph"/>
      </w:pPr>
      <w:r>
        <w:t xml:space="preserve">The Marketing Manager emphasizes that continued success in South Korea requires deeper integration with Seoul's cultural rhythm. "Seoul isn't just a market – it's a living, breathing ecosystem where every campaign must feel authentically Korean," stated the Marketing Manager during the Q3 review.</w:t>
      </w:r>
    </w:p>
    <w:bookmarkEnd w:id="25"/>
    <w:bookmarkStart w:id="26" w:name="conclusion"/>
    <w:p>
      <w:pPr>
        <w:pStyle w:val="Heading2"/>
      </w:pPr>
      <w:r>
        <w:t xml:space="preserve">Conclusion</w:t>
      </w:r>
    </w:p>
    <w:p>
      <w:pPr>
        <w:pStyle w:val="FirstParagraph"/>
      </w:pPr>
      <w:r>
        <w:t xml:space="preserve">The Q3 2024 Sales Report unequivocally demonstrates that under the strategic leadership of our Marketing Manager, South Korea Seoul has not only met but surpassed its commercial targets. By embedding cultural intelligence into every marketing initiative and leveraging Seoul's digital sophistication, the Marketing Manager transformed market challenges into growth catalysts. The exceptional NPS (78) and 15.8% revenue growth confirm that this approach – deeply rooted in understanding South Korea's unique consumer psyche – is the sustainable model for long-term dominance in Seoul. As we enter Q4, the Marketing Manager's proven ability to execute culturally resonant strategies positions us to capture even greater market share within South Korea's most competitive urban environment.</w:t>
      </w:r>
    </w:p>
    <w:bookmarkEnd w:id="26"/>
    <w:p>
      <w:pPr>
        <w:pStyle w:val="BodyText"/>
      </w:pPr>
      <w:r>
        <w:rPr>
          <w:bCs/>
          <w:b/>
        </w:rPr>
        <w:t xml:space="preserve">Prepared for:</w:t>
      </w:r>
      <w:r>
        <w:t xml:space="preserve"> </w:t>
      </w:r>
      <w:r>
        <w:t xml:space="preserve">Regional Executive Team, Asia-Pacific Operations</w:t>
      </w:r>
      <w:r>
        <w:br/>
      </w:r>
      <w:r>
        <w:rPr>
          <w:bCs/>
          <w:b/>
        </w:rPr>
        <w:t xml:space="preserve">Date:</w:t>
      </w:r>
      <w:r>
        <w:t xml:space="preserve"> </w:t>
      </w:r>
      <w:r>
        <w:t xml:space="preserve">October 26, 2024</w:t>
      </w:r>
      <w:r>
        <w:br/>
      </w:r>
      <w:r>
        <w:rPr>
          <w:bCs/>
          <w:b/>
        </w:rPr>
        <w:t xml:space="preserve">Prepared by:</w:t>
      </w:r>
      <w:r>
        <w:t xml:space="preserve"> </w:t>
      </w:r>
      <w:r>
        <w:t xml:space="preserve">Marketing Manager, South Korea Seoul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Marketing Manager Performance in South Korea Seoul</dc:title>
  <dc:creator/>
  <dc:language>en</dc:language>
  <cp:keywords/>
  <dcterms:created xsi:type="dcterms:W3CDTF">2026-07-24T07:39:27Z</dcterms:created>
  <dcterms:modified xsi:type="dcterms:W3CDTF">2026-07-24T07:39:27Z</dcterms:modified>
</cp:coreProperties>
</file>

<file path=docProps/custom.xml><?xml version="1.0" encoding="utf-8"?>
<Properties xmlns="http://schemas.openxmlformats.org/officeDocument/2006/custom-properties" xmlns:vt="http://schemas.openxmlformats.org/officeDocument/2006/docPropsVTypes"/>
</file>