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Istanbul</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p>
    <w:bookmarkStart w:id="30" w:name="Xe113d6506661e94c466ffc047a086acbb03bb2a"/>
    <w:p>
      <w:pPr>
        <w:pStyle w:val="Heading1"/>
      </w:pPr>
      <w:r>
        <w:t xml:space="preserve">Sales Report: Marketing Manager Performance in Turkey Istanbul Market (Q3 2023)</w:t>
      </w:r>
    </w:p>
    <w:bookmarkStart w:id="20" w:name="executive-summary"/>
    <w:p>
      <w:pPr>
        <w:pStyle w:val="Heading2"/>
      </w:pPr>
      <w:r>
        <w:t xml:space="preserve">Executive Summary</w:t>
      </w:r>
    </w:p>
    <w:p>
      <w:pPr>
        <w:pStyle w:val="FirstParagraph"/>
      </w:pPr>
      <w:r>
        <w:t xml:space="preserve">This comprehensive Sales Report details the strategic initiatives, market performance, and key achievements of the Marketing Manager overseeing operations in Turkey Istanbul. The report demonstrates a 37% year-over-year increase in sales revenue for the Istanbul metropolitan area, significantly exceeding regional targets. This growth is directly attributed to data-driven campaign execution led by our dedicated Marketing Manager who leveraged hyper-localized marketing tactics specific to Turkey's largest economic hub. With Istanbul contributing 42% of total Turkey sales, this performance underscores the critical importance of our Marketing Manager's role in driving sustainable market dominance within this dynamic urban environment.</w:t>
      </w:r>
    </w:p>
    <w:bookmarkEnd w:id="20"/>
    <w:bookmarkStart w:id="21" w:name="market-analysis-istanbul-context"/>
    <w:p>
      <w:pPr>
        <w:pStyle w:val="Heading2"/>
      </w:pPr>
      <w:r>
        <w:t xml:space="preserve">Market Analysis: Istanbul Context</w:t>
      </w:r>
    </w:p>
    <w:p>
      <w:pPr>
        <w:pStyle w:val="FirstParagraph"/>
      </w:pPr>
      <w:r>
        <w:t xml:space="preserve">The Turkey Istanbul market presents unique opportunities and challenges that demand specialized marketing expertise. As the economic engine of Turkey, Istanbul houses 15% of the nation's population and generates 30% of its GDP. The Marketing Manager conducted extensive ethnographic research across key districts including Kadıköy, Beyoğlu, and Beşiktaş to understand shifting consumer behaviors post-pandemic. Our analysis revealed that 78% of Istanbul consumers prioritize digital-first experiences, with Instagram Reels and TikTok driving 64% of brand discovery among Gen Z and millennial segments. Crucially, the Marketing Manager identified Ramadan Bayrami as a pivotal sales period, developing culturally resonant campaigns that capitalized on this high-engagement cultural moment.</w:t>
      </w:r>
    </w:p>
    <w:bookmarkEnd w:id="21"/>
    <w:bookmarkStart w:id="25" w:name="strategic-campaign-performance"/>
    <w:p>
      <w:pPr>
        <w:pStyle w:val="Heading2"/>
      </w:pPr>
      <w:r>
        <w:t xml:space="preserve">Strategic Campaign Performance</w:t>
      </w:r>
    </w:p>
    <w:p>
      <w:pPr>
        <w:pStyle w:val="FirstParagraph"/>
      </w:pPr>
      <w:r>
        <w:t xml:space="preserve">The Marketing Manager executed three flagship campaigns tailored to Istanbul's urban landscape:</w:t>
      </w:r>
    </w:p>
    <w:bookmarkStart w:id="22" w:name="X653611c7a83e3a2a2541e8eb81ec5ef92198871"/>
    <w:p>
      <w:pPr>
        <w:pStyle w:val="Heading3"/>
      </w:pPr>
      <w:r>
        <w:t xml:space="preserve">1. "Istanbul Nights" Digital Experience (July-August 2023)</w:t>
      </w:r>
    </w:p>
    <w:p>
      <w:pPr>
        <w:pStyle w:val="FirstParagraph"/>
      </w:pPr>
      <w:r>
        <w:t xml:space="preserve">This immersive campaign utilized geo-targeting for Istanbul's night-life hotspots. Leveraging partnerships with popular local venues like Sultans Beach and Cemil Bey, the Marketing Manager created Instagram filters celebrating Istanbul's skyline at dusk. The campaign generated 187K user-generated content posts with #IstanbulNights, resulting in a 32% increase in foot traffic to partner locations and directly contributing to 28% of Q3 sales growth. The Marketing Manager's real-time analytics dashboard enabled immediate optimization, reducing cost-per-lead by 41%.</w:t>
      </w:r>
    </w:p>
    <w:bookmarkEnd w:id="22"/>
    <w:bookmarkStart w:id="23" w:name="ramadan-bayrami-loyalty-drive-april-2023"/>
    <w:p>
      <w:pPr>
        <w:pStyle w:val="Heading3"/>
      </w:pPr>
      <w:r>
        <w:t xml:space="preserve">2. Ramadan Bayrami Loyalty Drive (April 2023)</w:t>
      </w:r>
    </w:p>
    <w:p>
      <w:pPr>
        <w:pStyle w:val="FirstParagraph"/>
      </w:pPr>
      <w:r>
        <w:t xml:space="preserve">Recognizing Turkey's largest consumer holiday, the Marketing Manager designed a cash-back promotion exclusively for Istanbul residents. Through strategic collaborations with Trendyol and Hepsiburada, the campaign delivered personalized offers based on past purchase behavior. This resulted in 58% higher repeat purchase rates among Istanbul customers versus national averages and generated ₺12.7 million in incremental sales within 14 days of launch – a 39% improvement over previous year's Bayrami performance.</w:t>
      </w:r>
    </w:p>
    <w:bookmarkEnd w:id="23"/>
    <w:bookmarkStart w:id="24" w:name="kadıköy-cultural-district-partnership"/>
    <w:p>
      <w:pPr>
        <w:pStyle w:val="Heading3"/>
      </w:pPr>
      <w:r>
        <w:t xml:space="preserve">3. Kadıköy Cultural District Partnership</w:t>
      </w:r>
    </w:p>
    <w:p>
      <w:pPr>
        <w:pStyle w:val="FirstParagraph"/>
      </w:pPr>
      <w:r>
        <w:t xml:space="preserve">Understanding Istanbul's creative heartland, the Marketing Manager secured exclusive partnerships with local artists and boutique stores in Kadıköy. This grassroots initiative featured pop-up events co-created with Turkish designers, driving 22% higher engagement rates than traditional digital campaigns. The campaign successfully positioned our brand as culturally aligned within Turkey's most influential urban community.</w:t>
      </w:r>
    </w:p>
    <w:bookmarkEnd w:id="24"/>
    <w:bookmarkEnd w:id="25"/>
    <w:bookmarkStart w:id="26" w:name="X31332a56e85060eb6d5c4d7b7f8c3c93b18b8a7"/>
    <w:p>
      <w:pPr>
        <w:pStyle w:val="Heading2"/>
      </w:pPr>
      <w:r>
        <w:t xml:space="preserve">Key Challenges &amp; Marketing Manager Solutions</w:t>
      </w:r>
    </w:p>
    <w:p>
      <w:pPr>
        <w:pStyle w:val="FirstParagraph"/>
      </w:pPr>
      <w:r>
        <w:t xml:space="preserve">The Marketing Manager proactively addressed three critical Istanbul-specific challenges:</w:t>
      </w:r>
    </w:p>
    <w:p>
      <w:pPr>
        <w:numPr>
          <w:ilvl w:val="0"/>
          <w:numId w:val="1001"/>
        </w:numPr>
        <w:pStyle w:val="Compact"/>
      </w:pPr>
      <w:r>
        <w:rPr>
          <w:bCs/>
          <w:b/>
        </w:rPr>
        <w:t xml:space="preserve">Local Competition Pressure:</w:t>
      </w:r>
      <w:r>
        <w:t xml:space="preserve"> </w:t>
      </w:r>
      <w:r>
        <w:t xml:space="preserve">Faced intense competition from domestic brands like Trendyol. The Marketing Manager countered by developing Istanbul-exclusive product bundles with local artisans, increasing perceived value by 29%.</w:t>
      </w:r>
    </w:p>
    <w:p>
      <w:pPr>
        <w:numPr>
          <w:ilvl w:val="0"/>
          <w:numId w:val="1001"/>
        </w:numPr>
        <w:pStyle w:val="Compact"/>
      </w:pPr>
      <w:r>
        <w:rPr>
          <w:bCs/>
          <w:b/>
        </w:rPr>
        <w:t xml:space="preserve">Currency Volatility:</w:t>
      </w:r>
      <w:r>
        <w:t xml:space="preserve"> </w:t>
      </w:r>
      <w:r>
        <w:t xml:space="preserve">Navigated Lira fluctuations through dynamic pricing models. The Marketing Manager implemented AI-driven pricing adjustments that maintained margins while keeping Istanbul consumers' price sensitivity in check.</w:t>
      </w:r>
    </w:p>
    <w:p>
      <w:pPr>
        <w:numPr>
          <w:ilvl w:val="0"/>
          <w:numId w:val="1001"/>
        </w:numPr>
        <w:pStyle w:val="Compact"/>
      </w:pPr>
      <w:r>
        <w:rPr>
          <w:bCs/>
          <w:b/>
        </w:rPr>
        <w:t xml:space="preserve">Digital Fragmentation:</w:t>
      </w:r>
      <w:r>
        <w:t xml:space="preserve"> </w:t>
      </w:r>
      <w:r>
        <w:t xml:space="preserve">Addressed Turkey's diverse social media landscape by creating platform-specific content strategies (e.g., WhatsApp for older demographics, TikTok for youth). This resulted in 53% higher cross-platform engagement rates within Istanbul.</w:t>
      </w:r>
    </w:p>
    <w:bookmarkEnd w:id="26"/>
    <w:bookmarkStart w:id="27" w:name="performance-metrics-roi"/>
    <w:p>
      <w:pPr>
        <w:pStyle w:val="Heading2"/>
      </w:pPr>
      <w:r>
        <w:t xml:space="preserve">Performance Metrics &amp; ROI</w:t>
      </w:r>
    </w:p>
    <w:p>
      <w:pPr>
        <w:pStyle w:val="FirstParagraph"/>
      </w:pPr>
      <w:r>
        <w:t xml:space="preserve">The Marketing Manager's initiatives delivered exceptional ROI across all Istanbul metrics:</w:t>
      </w:r>
    </w:p>
    <w:p>
      <w:pPr>
        <w:pStyle w:val="BodyText"/>
      </w:pPr>
      <w:r>
        <w:t xml:space="preserve">Key Metric</w:t>
      </w:r>
    </w:p>
    <w:p>
      <w:pPr>
        <w:pStyle w:val="BodyText"/>
      </w:pPr>
      <w:r>
        <w:t xml:space="preserve">Q3 2023 (Istanbul)</w:t>
      </w:r>
    </w:p>
    <w:p>
      <w:pPr>
        <w:pStyle w:val="BodyText"/>
      </w:pPr>
      <w:r>
        <w:t xml:space="preserve">YoY Change</w:t>
      </w:r>
    </w:p>
    <w:p>
      <w:pPr>
        <w:pStyle w:val="BodyText"/>
      </w:pPr>
      <w:r>
        <w:t xml:space="preserve">Target Achievement</w:t>
      </w:r>
    </w:p>
    <w:p>
      <w:pPr>
        <w:pStyle w:val="BodyText"/>
      </w:pPr>
      <w:r>
        <w:t xml:space="preserve">Sales Revenue</w:t>
      </w:r>
    </w:p>
    <w:p>
      <w:pPr>
        <w:pStyle w:val="BodyText"/>
      </w:pPr>
      <w:r>
        <w:t xml:space="preserve">Turkish Lira ₺98.4M</w:t>
      </w:r>
    </w:p>
    <w:p>
      <w:pPr>
        <w:pStyle w:val="BodyText"/>
      </w:pPr>
      <w:r>
        <w:t xml:space="preserve">+37%</w:t>
      </w:r>
    </w:p>
    <w:p>
      <w:pPr>
        <w:pStyle w:val="BodyText"/>
      </w:pPr>
      <w:r>
        <w:t xml:space="preserve">128% of Target</w:t>
      </w:r>
    </w:p>
    <w:p>
      <w:pPr>
        <w:pStyle w:val="BodyText"/>
      </w:pPr>
      <w:r>
        <w:t xml:space="preserve">Customer Acquisition Cost (CAC)</w:t>
      </w:r>
    </w:p>
    <w:p>
      <w:pPr>
        <w:pStyle w:val="BodyText"/>
      </w:pPr>
      <w:r>
        <w:t xml:space="preserve">₺142</w:t>
      </w:r>
    </w:p>
    <w:p>
      <w:pPr>
        <w:pStyle w:val="BodyText"/>
      </w:pPr>
      <w:r>
        <w:t xml:space="preserve">-29%</w:t>
      </w:r>
    </w:p>
    <w:p>
      <w:pPr>
        <w:pStyle w:val="BodyText"/>
      </w:pPr>
      <w:r>
        <w:t xml:space="preserve">Below National Average by 18%</w:t>
      </w:r>
    </w:p>
    <w:p>
      <w:pPr>
        <w:pStyle w:val="BodyText"/>
      </w:pPr>
      <w:r>
        <w:t xml:space="preserve">Brand Awareness in Istanbul</w:t>
      </w:r>
    </w:p>
    <w:p>
      <w:pPr>
        <w:pStyle w:val="BodyText"/>
      </w:pPr>
      <w:r>
        <w:t xml:space="preserve">68% (up from 51%)</w:t>
      </w:r>
    </w:p>
    <w:p>
      <w:pPr>
        <w:pStyle w:val="BodyText"/>
      </w:pPr>
      <w:r>
        <w:t xml:space="preserve">+17pp</w:t>
      </w:r>
    </w:p>
    <w:p>
      <w:pPr>
        <w:pStyle w:val="BodyText"/>
      </w:pPr>
      <w:r>
        <w:t xml:space="preserve">National Leader Position</w:t>
      </w:r>
    </w:p>
    <w:bookmarkEnd w:id="27"/>
    <w:bookmarkStart w:id="28" w:name="X1d30e705096ac19ce27384523d7c408f3d45972"/>
    <w:p>
      <w:pPr>
        <w:pStyle w:val="Heading2"/>
      </w:pPr>
      <w:r>
        <w:t xml:space="preserve">Strategic Recommendations for Future Performance</w:t>
      </w:r>
    </w:p>
    <w:p>
      <w:pPr>
        <w:pStyle w:val="FirstParagraph"/>
      </w:pPr>
      <w:r>
        <w:t xml:space="preserve">The Sales Report concludes with forward-looking recommendations developed by the Marketing Manager, all designed specifically for Turkey Istanbul's market dynamics:</w:t>
      </w:r>
    </w:p>
    <w:p>
      <w:pPr>
        <w:numPr>
          <w:ilvl w:val="0"/>
          <w:numId w:val="1002"/>
        </w:numPr>
        <w:pStyle w:val="Compact"/>
      </w:pPr>
      <w:r>
        <w:rPr>
          <w:bCs/>
          <w:b/>
        </w:rPr>
        <w:t xml:space="preserve">Expand Summer Festival Partnerships:</w:t>
      </w:r>
      <w:r>
        <w:t xml:space="preserve"> </w:t>
      </w:r>
      <w:r>
        <w:t xml:space="preserve">Leverage Istanbul's annual summer festival season (e.g., Istanbul International Jazz Festival) for experiential marketing activations to drive 20% higher Q4 sales.</w:t>
      </w:r>
    </w:p>
    <w:p>
      <w:pPr>
        <w:numPr>
          <w:ilvl w:val="0"/>
          <w:numId w:val="1002"/>
        </w:numPr>
        <w:pStyle w:val="Compact"/>
      </w:pPr>
      <w:r>
        <w:rPr>
          <w:bCs/>
          <w:b/>
        </w:rPr>
        <w:t xml:space="preserve">Develop Turkey-Specific Digital Wallet Integration:</w:t>
      </w:r>
      <w:r>
        <w:t xml:space="preserve"> </w:t>
      </w:r>
      <w:r>
        <w:t xml:space="preserve">Partner with local fintech solutions like PayCell to enable frictionless payments within Istanbul, targeting the 73% mobile payment adoption rate in the city.</w:t>
      </w:r>
    </w:p>
    <w:p>
      <w:pPr>
        <w:numPr>
          <w:ilvl w:val="0"/>
          <w:numId w:val="1002"/>
        </w:numPr>
        <w:pStyle w:val="Compact"/>
      </w:pPr>
      <w:r>
        <w:rPr>
          <w:bCs/>
          <w:b/>
        </w:rPr>
        <w:t xml:space="preserve">Create Neighborhood-Level Campaigns:</w:t>
      </w:r>
      <w:r>
        <w:t xml:space="preserve"> </w:t>
      </w:r>
      <w:r>
        <w:t xml:space="preserve">Implement district-specific strategies for Istanbul's 39 districts (e.g., unique campaigns for Üsküdar vs. Zeytinburnu) based on socioeconomic profiles identified by the Marketing Manager's local analytics team.</w:t>
      </w:r>
    </w:p>
    <w:bookmarkEnd w:id="28"/>
    <w:bookmarkStart w:id="29" w:name="conclusion"/>
    <w:p>
      <w:pPr>
        <w:pStyle w:val="Heading2"/>
      </w:pPr>
      <w:r>
        <w:t xml:space="preserve">Conclusion</w:t>
      </w:r>
    </w:p>
    <w:p>
      <w:pPr>
        <w:pStyle w:val="FirstParagraph"/>
      </w:pPr>
      <w:r>
        <w:t xml:space="preserve">This Sales Report unequivocally demonstrates how strategic leadership from our Marketing Manager has transformed Turkey Istanbul into a high-performance sales engine. The initiatives executed specifically for Istanbul – from Ramadan Bayrami innovations to Kadıköy cultural partnerships – have established market leadership and delivered exceptional revenue growth. As the most critical urban market in Turkey, Istanbul's success directly influences national performance, making the Marketing Manager's role indispensable to our company's expansion strategy in this vital territory. We project that sustaining these localized approaches will yield 45%+ YoY growth for Turkey Istanbul by Q3 2024, setting a benchmark for all regional marketing operations.</w:t>
      </w:r>
    </w:p>
    <w:p>
      <w:pPr>
        <w:pStyle w:val="BodyText"/>
      </w:pPr>
      <w:r>
        <w:rPr>
          <w:bCs/>
          <w:b/>
        </w:rPr>
        <w:t xml:space="preserve">Prepared For:</w:t>
      </w:r>
      <w:r>
        <w:t xml:space="preserve"> </w:t>
      </w:r>
      <w:r>
        <w:t xml:space="preserve">Regional Leadership Team |</w:t>
      </w:r>
      <w:r>
        <w:t xml:space="preserve"> </w:t>
      </w:r>
      <w:r>
        <w:rPr>
          <w:bCs/>
          <w:b/>
        </w:rPr>
        <w:t xml:space="preserve">Date:</w:t>
      </w:r>
      <w:r>
        <w:t xml:space="preserve"> </w:t>
      </w:r>
      <w:r>
        <w:t xml:space="preserve">October 15, 2023 |</w:t>
      </w:r>
      <w:r>
        <w:t xml:space="preserve"> </w:t>
      </w:r>
      <w:r>
        <w:rPr>
          <w:bCs/>
          <w:b/>
        </w:rPr>
        <w:t xml:space="preserve">Market Focus:</w:t>
      </w:r>
      <w:r>
        <w:t xml:space="preserve"> </w:t>
      </w:r>
      <w:r>
        <w:t xml:space="preserve">Turkey Istanbul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 Sales Report: Marketing Manager Performance</dc:title>
  <dc:creator/>
  <dc:language>en</dc:language>
  <cp:keywords/>
  <dcterms:created xsi:type="dcterms:W3CDTF">2025-12-11T06:24:48Z</dcterms:created>
  <dcterms:modified xsi:type="dcterms:W3CDTF">2025-12-11T06:24:48Z</dcterms:modified>
</cp:coreProperties>
</file>

<file path=docProps/custom.xml><?xml version="1.0" encoding="utf-8"?>
<Properties xmlns="http://schemas.openxmlformats.org/officeDocument/2006/custom-properties" xmlns:vt="http://schemas.openxmlformats.org/officeDocument/2006/docPropsVTypes"/>
</file>