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Miami</w:t>
      </w:r>
    </w:p>
    <w:bookmarkStart w:id="29" w:name="Xd355cfae3345c224acc47b5d3ab0323cecde4b3"/>
    <w:p>
      <w:pPr>
        <w:pStyle w:val="Heading1"/>
      </w:pPr>
      <w:r>
        <w:t xml:space="preserve">SALES REPORT: MARKETING MANAGER PERFORMANCE &amp; STRATEGIC INSIGHTS FOR UNITED STATES MIAMI MARKET</w:t>
      </w:r>
    </w:p>
    <w:bookmarkStart w:id="28" w:name="Xb722208301bd6930c3d9475d7356450fd834594"/>
    <w:p>
      <w:pPr>
        <w:pStyle w:val="Heading2"/>
      </w:pPr>
      <w:r>
        <w:t xml:space="preserve">Prepared For: Executive Leadership Team</w:t>
      </w:r>
      <w:r>
        <w:br/>
      </w:r>
      <w:r>
        <w:t xml:space="preserve">Report Period: July 1, 2023 - September 30, 2023</w:t>
      </w:r>
      <w:r>
        <w:br/>
      </w:r>
      <w:r>
        <w:t xml:space="preserve">Prepared By: [Marketing Manager Name]</w:t>
      </w:r>
      <w:r>
        <w:br/>
      </w:r>
      <w:r>
        <w:t xml:space="preserve">Date: October 5, 2023</w:t>
      </w:r>
    </w:p>
    <w:bookmarkStart w:id="20" w:name="i.-executive-summary"/>
    <w:p>
      <w:pPr>
        <w:pStyle w:val="Heading3"/>
      </w:pPr>
      <w:r>
        <w:t xml:space="preserve">I. Executive Summary</w:t>
      </w:r>
    </w:p>
    <w:p>
      <w:pPr>
        <w:pStyle w:val="FirstParagraph"/>
      </w:pPr>
      <w:r>
        <w:t xml:space="preserve">This Sales Report details the performance of the Marketing Manager function within the United States Miami market during Q3 2023. The strategic focus on hyper-localized digital engagement, cultural alignment with Miami's diverse demographics, and targeted tourism-driven campaigns directly contributed to exceeding quarterly revenue targets by 18.7%. Key achievements include a 34% year-over-year increase in lead generation from the United States Miami metro area and a 22% uplift in customer retention among Hispanic/Latino clientele – the fastest-growing segment in our regional portfolio. This report underscores how strategic execution by the Marketing Manager, deeply rooted in Miami’s unique market dynamics, delivered exceptional results.</w:t>
      </w:r>
    </w:p>
    <w:bookmarkEnd w:id="20"/>
    <w:bookmarkStart w:id="21" w:name="Xf9944e7d752c1e4d9a6394f752fccb88b6b14d7"/>
    <w:p>
      <w:pPr>
        <w:pStyle w:val="Heading3"/>
      </w:pPr>
      <w:r>
        <w:t xml:space="preserve">II. Market Context: United States Miami Dynamics</w:t>
      </w:r>
    </w:p>
    <w:p>
      <w:pPr>
        <w:pStyle w:val="FirstParagraph"/>
      </w:pPr>
      <w:r>
        <w:t xml:space="preserve">The United States Miami market remains a high-potential, competitive hub driven by tourism (12.1M visitors in 2023), a thriving international business community, and a culturally rich demographic mix (45% Hispanic/Latino population). The Marketing Manager navigated these complexities by prioritizing cultural nuance in all campaigns. Unlike generic national strategies, our Miami-specific approach leveraged local insights: partnering with Wynwood Arts District influencers for Gen-Z engagement, tailoring email sequences to Spanish/English bilingual audiences during Hispanic Heritage Month (August), and aligning promotions with South Beach events (Art Basel pre-launch). This localized focus was non-negotiable for the Marketing Manager in a market where 78% of purchasing decisions are influenced by hyper-localized messaging.</w:t>
      </w:r>
    </w:p>
    <w:bookmarkEnd w:id="21"/>
    <w:bookmarkStart w:id="22" w:name="iii.-key-sales-metrics-achievements"/>
    <w:p>
      <w:pPr>
        <w:pStyle w:val="Heading3"/>
      </w:pPr>
      <w:r>
        <w:t xml:space="preserve">III. Key Sales Metrics &amp; Achievements</w:t>
      </w:r>
    </w:p>
    <w:p>
      <w:pPr>
        <w:pStyle w:val="FirstParagraph"/>
      </w:pPr>
      <w:r>
        <w:rPr>
          <w:bCs/>
          <w:b/>
        </w:rPr>
        <w:t xml:space="preserve">Revenue Performance:</w:t>
      </w:r>
      <w:r>
        <w:t xml:space="preserve"> </w:t>
      </w:r>
      <w:r>
        <w:t xml:space="preserve">Total Q3 revenue from United States Miami: $1,842,500 (vs. target: $1,550,000). 22% increase YoY. The Marketing Manager’s digital campaign focused on "Miami Luxury Getaways" drove 67% of this revenue through targeted Facebook/Instagram ads reaching users within a 15-mile radius of downtown Miami.</w:t>
      </w:r>
    </w:p>
    <w:p>
      <w:pPr>
        <w:pStyle w:val="BodyText"/>
      </w:pPr>
      <w:r>
        <w:rPr>
          <w:bCs/>
          <w:b/>
        </w:rPr>
        <w:t xml:space="preserve">Lead Generation:</w:t>
      </w:r>
      <w:r>
        <w:t xml:space="preserve"> </w:t>
      </w:r>
      <w:r>
        <w:t xml:space="preserve">Generated 3,850 qualified leads (vs. target: 2,900). The Marketing Manager implemented a geo-fenced "Wynwood Pop-Up Event" campaign leveraging Foursquare check-ins, resulting in 1,420 leads from the art district – a previously untapped high-value segment.</w:t>
      </w:r>
    </w:p>
    <w:p>
      <w:pPr>
        <w:pStyle w:val="BodyText"/>
      </w:pPr>
      <w:r>
        <w:rPr>
          <w:bCs/>
          <w:b/>
        </w:rPr>
        <w:t xml:space="preserve">Customer Retention:</w:t>
      </w:r>
      <w:r>
        <w:t xml:space="preserve"> </w:t>
      </w:r>
      <w:r>
        <w:t xml:space="preserve">Achieved 85% retention rate (vs. industry avg: 68%) for customers acquired via Miami-specific campaigns. The Marketing Manager’s post-purchase engagement strategy included personalized follow-ups referencing local experiences (e.g., "Enjoyed your Little Havana tour? Here's a discount on our new Calle Ocho package!"), directly boosting repeat purchases.</w:t>
      </w:r>
    </w:p>
    <w:p>
      <w:pPr>
        <w:pStyle w:val="BodyText"/>
      </w:pPr>
      <w:r>
        <w:rPr>
          <w:bCs/>
          <w:b/>
        </w:rPr>
        <w:t xml:space="preserve">ROI Analysis:</w:t>
      </w:r>
      <w:r>
        <w:t xml:space="preserve"> </w:t>
      </w:r>
      <w:r>
        <w:t xml:space="preserve">Campaign ROI: 412%. The Marketing Manager optimized budget allocation away from broad national TV ads toward high-converting local digital channels (TikTok, Google Local Services Ads), reducing CAC by 31% in the United States Miami market.</w:t>
      </w:r>
    </w:p>
    <w:bookmarkEnd w:id="22"/>
    <w:bookmarkStart w:id="23" w:name="X926c31b8bcb1f930d5026a10493860dbdf02a50"/>
    <w:p>
      <w:pPr>
        <w:pStyle w:val="Heading3"/>
      </w:pPr>
      <w:r>
        <w:t xml:space="preserve">IV. Strategic Initiatives Executed by the Marketing Manager</w:t>
      </w:r>
    </w:p>
    <w:p>
      <w:pPr>
        <w:pStyle w:val="FirstParagraph"/>
      </w:pPr>
      <w:r>
        <w:t xml:space="preserve">The Marketing Manager implemented four pivotal strategies aligned with Miami’s unique ecosystem:</w:t>
      </w:r>
    </w:p>
    <w:p>
      <w:pPr>
        <w:numPr>
          <w:ilvl w:val="0"/>
          <w:numId w:val="1001"/>
        </w:numPr>
        <w:pStyle w:val="Compact"/>
      </w:pPr>
      <w:r>
        <w:rPr>
          <w:bCs/>
          <w:b/>
        </w:rPr>
        <w:t xml:space="preserve">Cultural Integration Campaigns:</w:t>
      </w:r>
      <w:r>
        <w:t xml:space="preserve"> </w:t>
      </w:r>
      <w:r>
        <w:t xml:space="preserve">Launched "Miami, My Culture" series featuring local artists and business owners (e.g., a Cuban pastry chef for the "Food &amp; Luxury" package), generating 12,000+ social engagements. This resonated deeply with the Hispanic market, driving a 43% sales lift in that segment.</w:t>
      </w:r>
    </w:p>
    <w:p>
      <w:pPr>
        <w:numPr>
          <w:ilvl w:val="0"/>
          <w:numId w:val="1001"/>
        </w:numPr>
        <w:pStyle w:val="Compact"/>
      </w:pPr>
      <w:r>
        <w:rPr>
          <w:bCs/>
          <w:b/>
        </w:rPr>
        <w:t xml:space="preserve">Tourism Synergy Partnerships:</w:t>
      </w:r>
      <w:r>
        <w:t xml:space="preserve"> </w:t>
      </w:r>
      <w:r>
        <w:t xml:space="preserve">Forged alliances with key Miami tourism entities (Miami-Dade County Tourism Marketing) to co-host "Discover Miami" webinars. The Marketing Manager ensured all materials included local landmarks (e.g., Vizcaya Museum, Jungle Island), resulting in 1,200+ joint leads.</w:t>
      </w:r>
    </w:p>
    <w:p>
      <w:pPr>
        <w:numPr>
          <w:ilvl w:val="0"/>
          <w:numId w:val="1001"/>
        </w:numPr>
        <w:pStyle w:val="Compact"/>
      </w:pPr>
      <w:r>
        <w:rPr>
          <w:bCs/>
          <w:b/>
        </w:rPr>
        <w:t xml:space="preserve">Diversity &amp; Inclusion Focus:</w:t>
      </w:r>
      <w:r>
        <w:t xml:space="preserve"> </w:t>
      </w:r>
      <w:r>
        <w:t xml:space="preserve">The Marketing Manager championed inclusive imagery in all campaigns, featuring Miami’s multi-ethnic community. This aligned with local values and attracted a 28% increase in clients from underrepresented groups, a key metric for the United States Miami market.</w:t>
      </w:r>
    </w:p>
    <w:bookmarkEnd w:id="23"/>
    <w:bookmarkStart w:id="24" w:name="v.-challenges-mitigation"/>
    <w:p>
      <w:pPr>
        <w:pStyle w:val="Heading3"/>
      </w:pPr>
      <w:r>
        <w:t xml:space="preserve">V. Challenges &amp; Mitigation</w:t>
      </w:r>
    </w:p>
    <w:p>
      <w:pPr>
        <w:pStyle w:val="FirstParagraph"/>
      </w:pPr>
      <w:r>
        <w:t xml:space="preserve">Challenges included intense competition from luxury resorts targeting international tourists (e.g., Bal Harbour Shops) and supply chain delays affecting physical promotional materials. The Marketing Manager mitigated these by: (1) pivoting to digital-only experiential marketing (virtual yacht tours via Instagram Live), and (2) collaborating with local Miami printers for rapid-prototyping of bilingual flyers, reducing campaign launch time by 40%.</w:t>
      </w:r>
    </w:p>
    <w:bookmarkEnd w:id="24"/>
    <w:bookmarkStart w:id="25" w:name="vi.-recommendations-for-q4-beyond"/>
    <w:p>
      <w:pPr>
        <w:pStyle w:val="Heading3"/>
      </w:pPr>
      <w:r>
        <w:t xml:space="preserve">VI. Recommendations for Q4 &amp; Beyond</w:t>
      </w:r>
    </w:p>
    <w:p>
      <w:pPr>
        <w:pStyle w:val="FirstParagraph"/>
      </w:pPr>
      <w:r>
        <w:t xml:space="preserve">The Marketing Manager recommends the following to sustain momentum in the United States Miami market:</w:t>
      </w:r>
    </w:p>
    <w:p>
      <w:pPr>
        <w:numPr>
          <w:ilvl w:val="0"/>
          <w:numId w:val="1002"/>
        </w:numPr>
        <w:pStyle w:val="Compact"/>
      </w:pPr>
      <w:r>
        <w:rPr>
          <w:bCs/>
          <w:b/>
        </w:rPr>
        <w:t xml:space="preserve">Expand "Miami Insider" Loyalty Program:</w:t>
      </w:r>
      <w:r>
        <w:t xml:space="preserve"> </w:t>
      </w:r>
      <w:r>
        <w:t xml:space="preserve">Leverage existing high-retention data to create tiered rewards (e.g., free VIP access to Art Basel events for top-tier clients), projected to boost retention to 90%.</w:t>
      </w:r>
    </w:p>
    <w:p>
      <w:pPr>
        <w:numPr>
          <w:ilvl w:val="0"/>
          <w:numId w:val="1002"/>
        </w:numPr>
        <w:pStyle w:val="Compact"/>
      </w:pPr>
      <w:r>
        <w:rPr>
          <w:bCs/>
          <w:b/>
        </w:rPr>
        <w:t xml:space="preserve">Double Down on Spanish-Language Digital Content:</w:t>
      </w:r>
      <w:r>
        <w:t xml:space="preserve"> </w:t>
      </w:r>
      <w:r>
        <w:t xml:space="preserve">Allocate 40% of Q4 budget here, as it drove 58% of new Miami leads. Partner with prominent Miami-based Spanish-language influencers (e.g., @MiamiGlamour) for authentic reach.</w:t>
      </w:r>
    </w:p>
    <w:p>
      <w:pPr>
        <w:numPr>
          <w:ilvl w:val="0"/>
          <w:numId w:val="1002"/>
        </w:numPr>
        <w:pStyle w:val="Compact"/>
      </w:pPr>
      <w:r>
        <w:rPr>
          <w:bCs/>
          <w:b/>
        </w:rPr>
        <w:t xml:space="preserve">Develop a "Miami Culture Index":</w:t>
      </w:r>
      <w:r>
        <w:t xml:space="preserve"> </w:t>
      </w:r>
      <w:r>
        <w:t xml:space="preserve">A proprietary tool tracking local trends (e.g., salsa music festivals, food truck events) to enable real-time campaign adjustments – a unique differentiator for the Marketing Manager in this market.</w:t>
      </w:r>
    </w:p>
    <w:bookmarkEnd w:id="25"/>
    <w:bookmarkStart w:id="26" w:name="vii.-conclusion"/>
    <w:p>
      <w:pPr>
        <w:pStyle w:val="Heading3"/>
      </w:pPr>
      <w:r>
        <w:t xml:space="preserve">VII. Conclusion</w:t>
      </w:r>
    </w:p>
    <w:p>
      <w:pPr>
        <w:pStyle w:val="FirstParagraph"/>
      </w:pPr>
      <w:r>
        <w:t xml:space="preserve">This Q3 Sales Report unequivocally demonstrates that the Marketing Manager’s deep immersion in the United States Miami market – prioritizing cultural intelligence, hyper-local targeting, and community-driven partnerships – is a strategic asset. The 18.7% revenue overperformance against target and 22% YoY growth are direct results of this focused approach. As the largest contributor to regional sales in our portfolio, the Marketing Manager’s role is now pivotal to our national expansion strategy. Future success hinges on maintaining this Miami-specific excellence while scaling proven tactics across other U.S. markets that share similar cultural dynamics (e.g., Los Angeles, New York). The United States Miami market has set a benchmark: marketing must be as local as its coastline.</w:t>
      </w:r>
    </w:p>
    <w:bookmarkEnd w:id="26"/>
    <w:bookmarkStart w:id="27" w:name="appendix-key-q3-metrics-snapshot"/>
    <w:p>
      <w:pPr>
        <w:pStyle w:val="Heading3"/>
      </w:pPr>
      <w:r>
        <w:t xml:space="preserve">Appendix: Key Q3 Metrics Snapshot</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(Miami)</w:t>
      </w:r>
    </w:p>
    <w:p>
      <w:pPr>
        <w:pStyle w:val="BodyText"/>
      </w:pPr>
      <w:r>
        <w:t xml:space="preserve">$1,842,500</w:t>
      </w:r>
    </w:p>
    <w:p>
      <w:pPr>
        <w:pStyle w:val="BodyText"/>
      </w:pPr>
      <w:r>
        <w:t xml:space="preserve">$1,550,000</w:t>
      </w:r>
    </w:p>
    <w:p>
      <w:pPr>
        <w:pStyle w:val="BodyText"/>
      </w:pPr>
      <w:r>
        <w:t xml:space="preserve">+18.7%</w:t>
      </w:r>
    </w:p>
    <w:p>
      <w:pPr>
        <w:pStyle w:val="BodyText"/>
      </w:pPr>
      <w:r>
        <w:t xml:space="preserve">New Leads (Miami)</w:t>
      </w:r>
    </w:p>
    <w:p>
      <w:pPr>
        <w:pStyle w:val="BodyText"/>
      </w:pPr>
      <w:r>
        <w:t xml:space="preserve">3,850</w:t>
      </w:r>
    </w:p>
    <w:p>
      <w:pPr>
        <w:pStyle w:val="BodyText"/>
      </w:pPr>
      <w:r>
        <w:t xml:space="preserve">2,900</w:t>
      </w:r>
    </w:p>
    <w:p>
      <w:pPr>
        <w:pStyle w:val="BodyText"/>
      </w:pPr>
      <w:r>
        <w:t xml:space="preserve">+32.8%</w:t>
      </w:r>
    </w:p>
    <w:p>
      <w:pPr>
        <w:pStyle w:val="BodyText"/>
      </w:pPr>
      <w:r>
        <w:t xml:space="preserve">Retention Rate (Miami)</w:t>
      </w:r>
    </w:p>
    <w:p>
      <w:pPr>
        <w:pStyle w:val="BodyText"/>
      </w:pPr>
      <w:r>
        <w:t xml:space="preserve">85%</w:t>
      </w:r>
    </w:p>
    <w:p>
      <w:pPr>
        <w:pStyle w:val="BodyText"/>
      </w:pPr>
      <w:r>
        <w:t xml:space="preserve">76%</w:t>
      </w:r>
    </w:p>
    <w:p>
      <w:pPr>
        <w:pStyle w:val="BodyText"/>
      </w:pPr>
      <w:r>
        <w:t xml:space="preserve">*Note: Retention includes repeat purchases within 90 days of initial acquisition</w:t>
      </w:r>
    </w:p>
    <w:p>
      <w:pPr>
        <w:pStyle w:val="BodyText"/>
      </w:pPr>
      <w:r>
        <w:rPr>
          <w:bCs/>
          <w:b/>
        </w:rPr>
        <w:t xml:space="preserve">Disclaimer:</w:t>
      </w:r>
      <w:r>
        <w:t xml:space="preserve"> </w:t>
      </w:r>
      <w:r>
        <w:t xml:space="preserve">All data reflects United States Miami metro area (Miami-Dade, Broward, Palm Beach counties) and is specific to the Marketing Manager’s assigned portfolio.</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Sales Report: Marketing Manager Performance - United States Miami</dc:title>
  <dc:creator/>
  <dc:language>en</dc:language>
  <cp:keywords/>
  <dcterms:created xsi:type="dcterms:W3CDTF">2026-07-24T10:43:57Z</dcterms:created>
  <dcterms:modified xsi:type="dcterms:W3CDTF">2026-07-24T10:43:57Z</dcterms:modified>
</cp:coreProperties>
</file>

<file path=docProps/custom.xml><?xml version="1.0" encoding="utf-8"?>
<Properties xmlns="http://schemas.openxmlformats.org/officeDocument/2006/custom-properties" xmlns:vt="http://schemas.openxmlformats.org/officeDocument/2006/docPropsVTypes"/>
</file>