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Marketing</w:t>
      </w:r>
      <w:r>
        <w:t xml:space="preserve"> </w:t>
      </w:r>
      <w:r>
        <w:t xml:space="preserve">Performance</w:t>
      </w:r>
    </w:p>
    <w:bookmarkStart w:id="31" w:name="X716afa2ab8f894162feedba15cbab5e017702d6"/>
    <w:p>
      <w:pPr>
        <w:pStyle w:val="Heading1"/>
      </w:pPr>
      <w:r>
        <w:t xml:space="preserve">Q3 2023 Sales Performance Report for United States New York City Market</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Marketing Manager, New York City Regional Office</w:t>
      </w:r>
      <w:r>
        <w:br/>
      </w:r>
      <w:r>
        <w:rPr>
          <w:bCs/>
          <w:b/>
        </w:rPr>
        <w:t xml:space="preserve">Date:</w:t>
      </w:r>
      <w:r>
        <w:t xml:space="preserve"> </w:t>
      </w:r>
      <w:r>
        <w:t xml:space="preserve">October 26, 2023</w:t>
      </w:r>
      <w:r>
        <w:br/>
      </w:r>
      <w:r>
        <w:rPr>
          <w:bCs/>
          <w:b/>
        </w:rPr>
        <w:t xml:space="preserve">Purpose:</w:t>
      </w:r>
      <w:r>
        <w:t xml:space="preserve"> </w:t>
      </w:r>
      <w:r>
        <w:t xml:space="preserve">Comprehensive analysis of Q3 sales performance and strategic marketing initiatives in the United States New York City market</w:t>
      </w:r>
    </w:p>
    <w:bookmarkStart w:id="20" w:name="executive-summary"/>
    <w:p>
      <w:pPr>
        <w:pStyle w:val="Heading2"/>
      </w:pPr>
      <w:r>
        <w:t xml:space="preserve">Executive Summary</w:t>
      </w:r>
    </w:p>
    <w:p>
      <w:pPr>
        <w:pStyle w:val="FirstParagraph"/>
      </w:pPr>
      <w:r>
        <w:t xml:space="preserve">This Sales Report details the pivotal performance metrics, campaign effectiveness, and strategic insights from the United States New York City market during Q3 2023. Under the leadership of our dedicated Marketing Manager, NYC has achieved remarkable growth despite intense competitive pressures in one of the world's most dynamic commercial hubs. The report confirms a 17.4% year-over-year increase in sales revenue across all product lines, significantly outperforming both regional and national averages. This success stems from data-driven marketing strategies tailored specifically to New York City's diverse consumer landscape, demonstrating how strategic market intelligence can drive exceptional results in high-stakes urban environments.</w:t>
      </w:r>
    </w:p>
    <w:bookmarkEnd w:id="20"/>
    <w:bookmarkStart w:id="25" w:name="key-sales-metrics-nyc-market-performance"/>
    <w:p>
      <w:pPr>
        <w:pStyle w:val="Heading2"/>
      </w:pPr>
      <w:r>
        <w:t xml:space="preserve">Key Sales Metrics: NYC Market Performance</w:t>
      </w:r>
    </w:p>
    <w:bookmarkStart w:id="21" w:name="sales-revenue"/>
    <w:p>
      <w:pPr>
        <w:pStyle w:val="Heading3"/>
      </w:pPr>
      <w:r>
        <w:t xml:space="preserve">Sales Revenue</w:t>
      </w:r>
    </w:p>
    <w:p>
      <w:pPr>
        <w:pStyle w:val="FirstParagraph"/>
      </w:pPr>
      <w:r>
        <w:t xml:space="preserve">$14.8M</w:t>
      </w:r>
    </w:p>
    <w:p>
      <w:pPr>
        <w:pStyle w:val="BodyText"/>
      </w:pPr>
      <w:r>
        <w:t xml:space="preserve">YoY Increase: +17.4% | QoQ Increase: +9.2%</w:t>
      </w:r>
    </w:p>
    <w:bookmarkEnd w:id="21"/>
    <w:bookmarkStart w:id="22" w:name="market-share"/>
    <w:p>
      <w:pPr>
        <w:pStyle w:val="Heading3"/>
      </w:pPr>
      <w:r>
        <w:t xml:space="preserve">Market Share</w:t>
      </w:r>
    </w:p>
    <w:p>
      <w:pPr>
        <w:pStyle w:val="FirstParagraph"/>
      </w:pPr>
      <w:r>
        <w:t xml:space="preserve">28.6%</w:t>
      </w:r>
    </w:p>
    <w:p>
      <w:pPr>
        <w:pStyle w:val="BodyText"/>
      </w:pPr>
      <w:r>
        <w:t xml:space="preserve">YoY Change: +4.1% | NYC Industry Avg: 24.3%</w:t>
      </w:r>
    </w:p>
    <w:bookmarkEnd w:id="22"/>
    <w:bookmarkStart w:id="23" w:name="customer-acquisition-cost-cac"/>
    <w:p>
      <w:pPr>
        <w:pStyle w:val="Heading3"/>
      </w:pPr>
      <w:r>
        <w:t xml:space="preserve">Customer Acquisition Cost (CAC)</w:t>
      </w:r>
    </w:p>
    <w:p>
      <w:pPr>
        <w:pStyle w:val="FirstParagraph"/>
      </w:pPr>
      <w:r>
        <w:t xml:space="preserve">$89</w:t>
      </w:r>
    </w:p>
    <w:p>
      <w:pPr>
        <w:pStyle w:val="BodyText"/>
      </w:pPr>
      <w:r>
        <w:t xml:space="preserve">YoY Reduction: -12.7% | Optimized through NYC-targeted digital campaigns</w:t>
      </w:r>
    </w:p>
    <w:bookmarkEnd w:id="23"/>
    <w:bookmarkStart w:id="24" w:name="conversion-rate"/>
    <w:p>
      <w:pPr>
        <w:pStyle w:val="Heading3"/>
      </w:pPr>
      <w:r>
        <w:t xml:space="preserve">Conversion Rate</w:t>
      </w:r>
    </w:p>
    <w:p>
      <w:pPr>
        <w:pStyle w:val="FirstParagraph"/>
      </w:pPr>
      <w:r>
        <w:t xml:space="preserve">4.7%</w:t>
      </w:r>
    </w:p>
    <w:p>
      <w:pPr>
        <w:pStyle w:val="BodyText"/>
      </w:pPr>
      <w:r>
        <w:t xml:space="preserve">QoQ Improvement: +0.8% | Top 5% in US market segment</w:t>
      </w:r>
    </w:p>
    <w:bookmarkEnd w:id="24"/>
    <w:p>
      <w:pPr>
        <w:pStyle w:val="BodyText"/>
      </w:pPr>
      <w:r>
        <w:t xml:space="preserve">The New York City market, representing approximately 18% of our total US revenue, has proven to be the most profitable regional hub this quarter. This success is directly attributable to the strategic vision implemented by our Marketing Manager who recognized NYC's unique cultural nuances and consumer behaviors. While national marketing campaigns often use standardized approaches, NYC required hyper-localized tactics that resonated with Manhattan's affluent professionals, Brooklyn's creative communities, and Queens' multicultural demographics.</w:t>
      </w:r>
    </w:p>
    <w:bookmarkEnd w:id="25"/>
    <w:bookmarkStart w:id="27" w:name="X929dd48de6cc30e38045f16f62d543714499045"/>
    <w:p>
      <w:pPr>
        <w:pStyle w:val="Heading2"/>
      </w:pPr>
      <w:r>
        <w:t xml:space="preserve">Marketing Campaign Analysis: Strategic Impact on Sales</w:t>
      </w:r>
    </w:p>
    <w:p>
      <w:pPr>
        <w:pStyle w:val="FirstParagraph"/>
      </w:pPr>
      <w:r>
        <w:t xml:space="preserve">The Q3 campaign portfolio executed under the guidance of our Marketing Manager delivered exceptional ROI. The "NYC Unfiltered" initiative – featuring immersive pop-up experiences in Times Square, Brooklyn Bridge Park, and Harlem – generated $3.2M in direct revenue while driving a 24% increase in social media engagement among target demographics (ages 25-44). This campaign specifically capitalized on NYC's identity as a cultural epicenter, partnering with local artists and influencers rather than national celebrities.</w:t>
      </w:r>
    </w:p>
    <w:bookmarkStart w:id="26" w:name="key-campaign-breakdown"/>
    <w:p>
      <w:pPr>
        <w:pStyle w:val="Heading3"/>
      </w:pPr>
      <w:r>
        <w:t xml:space="preserve">Key Campaign Breakdown:</w:t>
      </w:r>
    </w:p>
    <w:p>
      <w:pPr>
        <w:numPr>
          <w:ilvl w:val="0"/>
          <w:numId w:val="1001"/>
        </w:numPr>
        <w:pStyle w:val="Compact"/>
      </w:pPr>
      <w:r>
        <w:rPr>
          <w:bCs/>
          <w:b/>
        </w:rPr>
        <w:t xml:space="preserve">Hyperlocal Digital Targeting:</w:t>
      </w:r>
      <w:r>
        <w:t xml:space="preserve"> </w:t>
      </w:r>
      <w:r>
        <w:t xml:space="preserve">Geo-fenced Instagram and TikTok campaigns in Manhattan ZIP codes 10001-10024 drove 22% higher engagement than national benchmarks. The Marketing Manager's team developed location-specific content that resonated with neighborhood identities, such as "Brooklyn Heights Sunset" visuals for the waterfront community.</w:t>
      </w:r>
    </w:p>
    <w:p>
      <w:pPr>
        <w:numPr>
          <w:ilvl w:val="0"/>
          <w:numId w:val="1001"/>
        </w:numPr>
        <w:pStyle w:val="Compact"/>
      </w:pPr>
      <w:r>
        <w:rPr>
          <w:bCs/>
          <w:b/>
        </w:rPr>
        <w:t xml:space="preserve">Corporate Partnership Program:</w:t>
      </w:r>
      <w:r>
        <w:t xml:space="preserve"> </w:t>
      </w:r>
      <w:r>
        <w:t xml:space="preserve">Secured 37 new B2B partnerships with NYC-based businesses (including hospitality and retail chains), contributing $5.1M to enterprise sales – a 41% increase from Q2. The Marketing Manager negotiated exclusive co-branded offers that leveraged NYC's high foot traffic in commercial districts.</w:t>
      </w:r>
    </w:p>
    <w:p>
      <w:pPr>
        <w:numPr>
          <w:ilvl w:val="0"/>
          <w:numId w:val="1001"/>
        </w:numPr>
        <w:pStyle w:val="Compact"/>
      </w:pPr>
      <w:r>
        <w:rPr>
          <w:bCs/>
          <w:b/>
        </w:rPr>
        <w:t xml:space="preserve">Customer Retention Initiatives:</w:t>
      </w:r>
      <w:r>
        <w:t xml:space="preserve"> </w:t>
      </w:r>
      <w:r>
        <w:t xml:space="preserve">Launched the "City Insider" loyalty program with tiered benefits for NYC customers, reducing churn by 15% and increasing average order value by 22% among enrolled users.</w:t>
      </w:r>
    </w:p>
    <w:p>
      <w:pPr>
        <w:pStyle w:val="FirstParagraph"/>
      </w:pPr>
      <w:r>
        <w:t xml:space="preserve">These initiatives exemplify how a skilled Marketing Manager in United States New York City must balance national brand consistency with localized execution. The campaign's success was measured through proprietary NYC sales attribution models developed by the marketing team, which track customer journeys across physical and digital touchpoints unique to urban environments.</w:t>
      </w:r>
    </w:p>
    <w:bookmarkEnd w:id="26"/>
    <w:bookmarkEnd w:id="27"/>
    <w:bookmarkStart w:id="28" w:name="X40d6354133be2e52a09c32e40e9097b6bc4787d"/>
    <w:p>
      <w:pPr>
        <w:pStyle w:val="Heading2"/>
      </w:pPr>
      <w:r>
        <w:t xml:space="preserve">Challenges &amp; Strategic Opportunities in NYC</w:t>
      </w:r>
    </w:p>
    <w:p>
      <w:pPr>
        <w:pStyle w:val="FirstParagraph"/>
      </w:pPr>
      <w:r>
        <w:t xml:space="preserve">Despite strong performance, the New York City market presents distinct challenges requiring ongoing adaptation from our Marketing Manager. The most significant hurdle has been navigating the city's complex regulatory environment – particularly new data privacy laws affecting digital marketing (NYC Digital Privacy Act 2023), which required immediate campaign restructuring. Our Marketing Manager proactively engaged with city officials to ensure compliance while maintaining campaign effectiveness.</w:t>
      </w:r>
    </w:p>
    <w:p>
      <w:pPr>
        <w:pStyle w:val="BodyText"/>
      </w:pPr>
      <w:r>
        <w:t xml:space="preserve">Emerging opportunities in NYC include:</w:t>
      </w:r>
    </w:p>
    <w:p>
      <w:pPr>
        <w:numPr>
          <w:ilvl w:val="0"/>
          <w:numId w:val="1002"/>
        </w:numPr>
        <w:pStyle w:val="Compact"/>
      </w:pPr>
      <w:r>
        <w:rPr>
          <w:bCs/>
          <w:b/>
        </w:rPr>
        <w:t xml:space="preserve">Climate-Conscious Consumerism:</w:t>
      </w:r>
      <w:r>
        <w:t xml:space="preserve"> </w:t>
      </w:r>
      <w:r>
        <w:t xml:space="preserve">68% of NYC shoppers prioritize sustainable brands (NYC Sustainability Survey 2023). Our Marketing Manager is developing a "Green City" initiative targeting eco-conscious neighborhoods like West Chelsea and Upper West Side.</w:t>
      </w:r>
    </w:p>
    <w:p>
      <w:pPr>
        <w:numPr>
          <w:ilvl w:val="0"/>
          <w:numId w:val="1002"/>
        </w:numPr>
        <w:pStyle w:val="Compact"/>
      </w:pPr>
      <w:r>
        <w:rPr>
          <w:bCs/>
          <w:b/>
        </w:rPr>
        <w:t xml:space="preserve">Post-Pandemic Workforce Shifts:</w:t>
      </w:r>
      <w:r>
        <w:t xml:space="preserve"> </w:t>
      </w:r>
      <w:r>
        <w:t xml:space="preserve">With hybrid work models increasing, the Marketing Manager identified underserved commercial districts (e.g., Midtown East) for targeted office-based product promotions.</w:t>
      </w:r>
    </w:p>
    <w:p>
      <w:pPr>
        <w:numPr>
          <w:ilvl w:val="0"/>
          <w:numId w:val="1002"/>
        </w:numPr>
        <w:pStyle w:val="Compact"/>
      </w:pPr>
      <w:r>
        <w:rPr>
          <w:bCs/>
          <w:b/>
        </w:rPr>
        <w:t xml:space="preserve">Demographic Expansion:</w:t>
      </w:r>
      <w:r>
        <w:t xml:space="preserve"> </w:t>
      </w:r>
      <w:r>
        <w:t xml:space="preserve">28% of NYC's population is under 30 – a segment where we hold only 15% market share. The Marketing Manager launched TikTok-focused campaigns in partnership with local universities to capture this growing demographic.</w:t>
      </w:r>
    </w:p>
    <w:bookmarkEnd w:id="28"/>
    <w:bookmarkStart w:id="29" w:name="strategic-recommendations-for-q4"/>
    <w:p>
      <w:pPr>
        <w:pStyle w:val="Heading2"/>
      </w:pPr>
      <w:r>
        <w:t xml:space="preserve">Strategic Recommendations for Q4</w:t>
      </w:r>
    </w:p>
    <w:p>
      <w:pPr>
        <w:pStyle w:val="FirstParagraph"/>
      </w:pPr>
      <w:r>
        <w:t xml:space="preserve">The following recommendations, developed by our NYC Marketing Manager, will position us for sustained growth in the competitive United States market:</w:t>
      </w:r>
    </w:p>
    <w:p>
      <w:pPr>
        <w:numPr>
          <w:ilvl w:val="0"/>
          <w:numId w:val="1003"/>
        </w:numPr>
        <w:pStyle w:val="Compact"/>
      </w:pPr>
      <w:r>
        <w:rPr>
          <w:bCs/>
          <w:b/>
        </w:rPr>
        <w:t xml:space="preserve">Invest in AI-Powered Local Analytics:</w:t>
      </w:r>
      <w:r>
        <w:t xml:space="preserve"> </w:t>
      </w:r>
      <w:r>
        <w:t xml:space="preserve">Allocate $150k to implement city-specific predictive modeling that accounts for NYC's unique events calendar (e.g., Fashion Week, Pride Month) and weather patterns. This will optimize campaign timing and budget allocation.</w:t>
      </w:r>
    </w:p>
    <w:p>
      <w:pPr>
        <w:numPr>
          <w:ilvl w:val="0"/>
          <w:numId w:val="1003"/>
        </w:numPr>
        <w:pStyle w:val="Compact"/>
      </w:pPr>
      <w:r>
        <w:rPr>
          <w:bCs/>
          <w:b/>
        </w:rPr>
        <w:t xml:space="preserve">Expand Pop-Up Network:</w:t>
      </w:r>
      <w:r>
        <w:t xml:space="preserve"> </w:t>
      </w:r>
      <w:r>
        <w:t xml:space="preserve">Launch 8 additional neighborhood pop-up experiences targeting underpenetrated ZIP codes (including The Bronx and Queens), with each location curated for local culture – e.g., Dominican-inspired packaging in Jackson Heights.</w:t>
      </w:r>
    </w:p>
    <w:p>
      <w:pPr>
        <w:numPr>
          <w:ilvl w:val="0"/>
          <w:numId w:val="1003"/>
        </w:numPr>
        <w:pStyle w:val="Compact"/>
      </w:pPr>
      <w:r>
        <w:rPr>
          <w:bCs/>
          <w:b/>
        </w:rPr>
        <w:t xml:space="preserve">Develop NYC Loyalty Ecosystem:</w:t>
      </w:r>
      <w:r>
        <w:t xml:space="preserve"> </w:t>
      </w:r>
      <w:r>
        <w:t xml:space="preserve">Integrate the "City Insider" program with popular NYC apps like Citi Bike and OMNY transit payments to create frictionless customer rewards.</w:t>
      </w:r>
    </w:p>
    <w:p>
      <w:pPr>
        <w:numPr>
          <w:ilvl w:val="0"/>
          <w:numId w:val="1003"/>
        </w:numPr>
        <w:pStyle w:val="Compact"/>
      </w:pPr>
      <w:r>
        <w:rPr>
          <w:bCs/>
          <w:b/>
        </w:rPr>
        <w:t xml:space="preserve">Crisis Response Protocol:</w:t>
      </w:r>
      <w:r>
        <w:t xml:space="preserve"> </w:t>
      </w:r>
      <w:r>
        <w:t xml:space="preserve">Establish a dedicated NYC marketing task force for rapid response to city-specific disruptions (e.g., transportation strikes, major events), ensuring campaign continuity.</w:t>
      </w:r>
    </w:p>
    <w:bookmarkEnd w:id="29"/>
    <w:bookmarkStart w:id="30" w:name="X2ed1cf37197a193371d6fcbac0494446dfc8f17"/>
    <w:p>
      <w:pPr>
        <w:pStyle w:val="Heading2"/>
      </w:pPr>
      <w:r>
        <w:t xml:space="preserve">Conclusion: Driving Excellence in the Urban Marketplace</w:t>
      </w:r>
    </w:p>
    <w:p>
      <w:pPr>
        <w:pStyle w:val="FirstParagraph"/>
      </w:pPr>
      <w:r>
        <w:t xml:space="preserve">This Sales Report underscores that exceptional results in United States New York City are not accidental – they require a Marketing Manager who understands the city's intricate business ecosystem. The Q3 performance demonstrates how data-informed, culturally intelligent marketing drives measurable revenue growth where generic strategies fail. With NYC accounting for 18% of our national sales while consuming only 9% of our marketing budget, the ROI potential remains unparalleled.</w:t>
      </w:r>
    </w:p>
    <w:p>
      <w:pPr>
        <w:pStyle w:val="BodyText"/>
      </w:pPr>
      <w:r>
        <w:t xml:space="preserve">As we move into Q4, the strategic focus must remain on deepening our roots in New York City through continuous adaptation to its ever-evolving landscape. The Marketing Manager's role is no longer merely about campaign execution but about being an urban market intelligence partner – anticipating shifts in consumer behavior, regulatory environments, and cultural trends before they impact sales. This Sales Report confirms that with the right localized strategy led by a skilled Marketing Manager, New York City isn't just a market; it's our most valuable growth engine in the United States.</w:t>
      </w:r>
    </w:p>
    <w:p>
      <w:pPr>
        <w:pStyle w:val="BodyText"/>
      </w:pPr>
      <w:r>
        <w:t xml:space="preserve">Report generated for United States New York City Regional Office | Confidential - Proprietary to [Company Name]</w:t>
      </w:r>
    </w:p>
    <w:p>
      <w:pPr>
        <w:pStyle w:val="BodyText"/>
      </w:pPr>
      <w:r>
        <w:t xml:space="preserve">This Sales Report complies with all NYC data privacy regulations and marketing compliance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New York City Marketing Performance</dc:title>
  <dc:creator/>
  <dc:language>en</dc:language>
  <cp:keywords/>
  <dcterms:created xsi:type="dcterms:W3CDTF">2026-07-24T19:38:00Z</dcterms:created>
  <dcterms:modified xsi:type="dcterms:W3CDTF">2026-07-24T19:38:00Z</dcterms:modified>
</cp:coreProperties>
</file>

<file path=docProps/custom.xml><?xml version="1.0" encoding="utf-8"?>
<Properties xmlns="http://schemas.openxmlformats.org/officeDocument/2006/custom-properties" xmlns:vt="http://schemas.openxmlformats.org/officeDocument/2006/docPropsVTypes"/>
</file>