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Operations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6b6934668d57741f8d6e748b33793edb53c5ab9"/>
    <w:p>
      <w:pPr>
        <w:pStyle w:val="Heading1"/>
      </w:pPr>
      <w:r>
        <w:t xml:space="preserve">Comprehensive Sales Report: Mason Performance Analysis for Argentina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Mason's commercial performance across the Argentina Buenos Aires market during the third quarter of 2023. As a strategically critical region for global expansion, Argentina Buenos Aires represents our largest South American revenue stream, contributing 18% to global sales. Despite challenging macroeconomic conditions including high inflation and currency volatility, Mason achieved remarkable resilience with a 12.7% year-over-year growth in Buenos Aires sales volume. This Sales Report details key achievements, market dynamics, and strategic imperatives for sustained success in Argentina Buenos Aires.</w:t>
      </w:r>
    </w:p>
    <w:bookmarkEnd w:id="20"/>
    <w:bookmarkStart w:id="21" w:name="X5cc3f6808b0bd3aa5db0eb8bfa739b0fa905236"/>
    <w:p>
      <w:pPr>
        <w:pStyle w:val="Heading2"/>
      </w:pPr>
      <w:r>
        <w:t xml:space="preserve">II. Market Context: Argentina Buenos Aires Economic Landscape</w:t>
      </w:r>
    </w:p>
    <w:p>
      <w:pPr>
        <w:pStyle w:val="FirstParagraph"/>
      </w:pPr>
      <w:r>
        <w:t xml:space="preserve">The Argentina Buenos Aires market remains highly dynamic with unique characteristics requiring tailored commercial approaches. As the economic engine of Argentina, Buenos Aires accounts for 37% of national GDP and hosts over 14 million consumers. Current indicators include:</w:t>
      </w:r>
    </w:p>
    <w:p>
      <w:pPr>
        <w:numPr>
          <w:ilvl w:val="0"/>
          <w:numId w:val="1001"/>
        </w:numPr>
        <w:pStyle w:val="Compact"/>
      </w:pPr>
      <w:r>
        <w:t xml:space="preserve">Annual inflation at 125% (September 2023), creating pricing complexity</w:t>
      </w:r>
    </w:p>
    <w:p>
      <w:pPr>
        <w:numPr>
          <w:ilvl w:val="0"/>
          <w:numId w:val="1001"/>
        </w:numPr>
        <w:pStyle w:val="Compact"/>
      </w:pPr>
      <w:r>
        <w:t xml:space="preserve">Strong consumer demand for premium domestic brands in key sectors</w:t>
      </w:r>
    </w:p>
    <w:p>
      <w:pPr>
        <w:numPr>
          <w:ilvl w:val="0"/>
          <w:numId w:val="1001"/>
        </w:numPr>
        <w:pStyle w:val="Compact"/>
      </w:pPr>
      <w:r>
        <w:t xml:space="preserve">Increased digital adoption rates (+41% YoY) among Buenos Aires residents</w:t>
      </w:r>
    </w:p>
    <w:p>
      <w:pPr>
        <w:numPr>
          <w:ilvl w:val="0"/>
          <w:numId w:val="1001"/>
        </w:numPr>
        <w:pStyle w:val="Compact"/>
      </w:pPr>
      <w:r>
        <w:t xml:space="preserve">Government initiatives supporting local manufacturing partnerships</w:t>
      </w:r>
    </w:p>
    <w:p>
      <w:pPr>
        <w:pStyle w:val="FirstParagraph"/>
      </w:pPr>
      <w:r>
        <w:t xml:space="preserve">Mason has strategically adapted to Argentina Buenos Aires' market nuances through localized pricing models and community engagement programs. This Sales Report confirms our market positioning as a premium yet accessible brand within the competitive landscape of Argentina Buenos Aires.</w:t>
      </w:r>
    </w:p>
    <w:bookmarkEnd w:id="21"/>
    <w:bookmarkStart w:id="22" w:name="Xdb874015bdb1ef6c0967496119ca235a763a808"/>
    <w:p>
      <w:pPr>
        <w:pStyle w:val="Heading2"/>
      </w:pPr>
      <w:r>
        <w:t xml:space="preserve">III. Mason Sales Performance: Q3 2023 Highlights</w:t>
      </w:r>
    </w:p>
    <w:p>
      <w:pPr>
        <w:pStyle w:val="FirstParagraph"/>
      </w:pPr>
      <w:r>
        <w:t xml:space="preserve">Mason delivered exceptional results in Argentina Buenos Aires during Q3 2023, exceeding regional targets by 19.3%. Key metrics include:</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(USD)</w:t>
      </w:r>
    </w:p>
    <w:p>
      <w:pPr>
        <w:pStyle w:val="BodyText"/>
      </w:pPr>
      <w:r>
        <w:t xml:space="preserve">$4,187,500</w:t>
      </w:r>
    </w:p>
    <w:p>
      <w:pPr>
        <w:pStyle w:val="BodyText"/>
      </w:pPr>
      <w:r>
        <w:t xml:space="preserve">$3,692,800</w:t>
      </w:r>
    </w:p>
    <w:p>
      <w:pPr>
        <w:pStyle w:val="BodyText"/>
      </w:pPr>
      <w:r>
        <w:t xml:space="preserve">+</w:t>
      </w:r>
    </w:p>
    <w:p>
      <w:pPr>
        <w:pStyle w:val="BodyText"/>
      </w:pPr>
      <w:r>
        <w:rPr>
          <w:bCs/>
          <w:b/>
        </w:rPr>
        <w:t xml:space="preserve">+13.4%</w:t>
      </w:r>
    </w:p>
    <w:p>
      <w:pPr>
        <w:pStyle w:val="BodyText"/>
      </w:pPr>
      <w:r>
        <w:t xml:space="preserve">Unit Volume Sold</w:t>
      </w:r>
    </w:p>
    <w:p>
      <w:pPr>
        <w:pStyle w:val="BodyText"/>
      </w:pPr>
      <w:r>
        <w:t xml:space="preserve">217,400 units</w:t>
      </w:r>
    </w:p>
    <w:p>
      <w:pPr>
        <w:pStyle w:val="BodyText"/>
      </w:pPr>
      <w:r>
        <w:t xml:space="preserve">189,500 units</w:t>
      </w:r>
    </w:p>
    <w:p>
      <w:pPr>
        <w:pStyle w:val="BodyText"/>
      </w:pPr>
      <w:r>
        <w:t xml:space="preserve">+</w:t>
      </w:r>
    </w:p>
    <w:p>
      <w:pPr>
        <w:pStyle w:val="BodyText"/>
      </w:pPr>
      <w:r>
        <w:rPr>
          <w:bCs/>
          <w:b/>
        </w:rPr>
        <w:t xml:space="preserve">+14.7%</w:t>
      </w:r>
    </w:p>
    <w:p>
      <w:pPr>
        <w:pStyle w:val="BodyText"/>
      </w:pPr>
      <w:r>
        <w:t xml:space="preserve">New Customer Acquisition</w:t>
      </w:r>
    </w:p>
    <w:p>
      <w:pPr>
        <w:pStyle w:val="BodyText"/>
      </w:pPr>
      <w:r>
        <w:t xml:space="preserve">32,750 customers</w:t>
      </w:r>
    </w:p>
    <w:p>
      <w:pPr>
        <w:pStyle w:val="BodyText"/>
      </w:pPr>
      <w:r>
        <w:t xml:space="preserve">26,800 customers</w:t>
      </w:r>
    </w:p>
    <w:p>
      <w:pPr>
        <w:pStyle w:val="BodyText"/>
      </w:pPr>
      <w:r>
        <w:t xml:space="preserve">+</w:t>
      </w:r>
    </w:p>
    <w:p>
      <w:pPr>
        <w:pStyle w:val="BodyText"/>
      </w:pPr>
      <w:r>
        <w:rPr>
          <w:bCs/>
          <w:b/>
        </w:rPr>
        <w:t xml:space="preserve">+22.2%</w:t>
      </w:r>
    </w:p>
    <w:p>
      <w:pPr>
        <w:pStyle w:val="BodyText"/>
      </w:pPr>
      <w:r>
        <w:t xml:space="preserve">Gross Margin</w:t>
      </w:r>
    </w:p>
    <w:p>
      <w:pPr>
        <w:pStyle w:val="BodyText"/>
      </w:pPr>
      <w:r>
        <w:t xml:space="preserve">64.3%</w:t>
      </w:r>
    </w:p>
    <w:p>
      <w:pPr>
        <w:pStyle w:val="BodyText"/>
      </w:pPr>
      <w:r>
        <w:t xml:space="preserve">61.8%</w:t>
      </w:r>
    </w:p>
    <w:p>
      <w:pPr>
        <w:pStyle w:val="BodyText"/>
      </w:pPr>
      <w:r>
        <w:t xml:space="preserve">+</w:t>
      </w:r>
    </w:p>
    <w:p>
      <w:pPr>
        <w:pStyle w:val="BodyText"/>
      </w:pPr>
      <w:r>
        <w:rPr>
          <w:bCs/>
          <w:b/>
        </w:rPr>
        <w:t xml:space="preserve">+2.5 pts</w:t>
      </w:r>
    </w:p>
    <w:p>
      <w:pPr>
        <w:pStyle w:val="BodyText"/>
      </w:pPr>
      <w:r>
        <w:t xml:space="preserve">The success in Argentina Buenos Aires stems from Mason's targeted approach to the metropolitan market, particularly in premium product segments where we hold 28% market share. Notable growth drivers included our "Buenos Aires Collection" launched specifically for local tastes, achieving 37% of total regional sales within two months of launch.</w:t>
      </w:r>
    </w:p>
    <w:bookmarkEnd w:id="22"/>
    <w:bookmarkStart w:id="23" w:name="X89e01a2b21f960757bf2aeed758be4416c12f10"/>
    <w:p>
      <w:pPr>
        <w:pStyle w:val="Heading2"/>
      </w:pPr>
      <w:r>
        <w:t xml:space="preserve">IV. Regional Sales Breakdown: Argentina Buenos Aires</w:t>
      </w:r>
    </w:p>
    <w:p>
      <w:pPr>
        <w:pStyle w:val="FirstParagraph"/>
      </w:pPr>
      <w:r>
        <w:t xml:space="preserve">Mason's performance in Argentina Buenos Aires demonstrates geographic segmentation success:</w:t>
      </w:r>
    </w:p>
    <w:p>
      <w:pPr>
        <w:numPr>
          <w:ilvl w:val="0"/>
          <w:numId w:val="1002"/>
        </w:numPr>
        <w:pStyle w:val="Compact"/>
      </w:pPr>
      <w:r>
        <w:rPr>
          <w:bCs/>
          <w:b/>
        </w:rPr>
        <w:t xml:space="preserve">City Center (100 sq km):</w:t>
      </w:r>
      <w:r>
        <w:t xml:space="preserve"> </w:t>
      </w:r>
      <w:r>
        <w:t xml:space="preserve">$1.9M revenue (+15.2% YoY) – Dominated by premium product lines and high-traffic retail partnerships</w:t>
      </w:r>
    </w:p>
    <w:p>
      <w:pPr>
        <w:numPr>
          <w:ilvl w:val="0"/>
          <w:numId w:val="1002"/>
        </w:numPr>
        <w:pStyle w:val="Compact"/>
      </w:pPr>
      <w:r>
        <w:rPr>
          <w:bCs/>
          <w:b/>
        </w:rPr>
        <w:t xml:space="preserve">Greater Buenos Aires (4,700 sq km):</w:t>
      </w:r>
      <w:r>
        <w:t xml:space="preserve"> </w:t>
      </w:r>
      <w:r>
        <w:t xml:space="preserve">$2.28M revenue (+11.9% YoY) – Driven by distribution network expansion into 38 new neighborhoods</w:t>
      </w:r>
    </w:p>
    <w:p>
      <w:pPr>
        <w:numPr>
          <w:ilvl w:val="0"/>
          <w:numId w:val="1002"/>
        </w:numPr>
        <w:pStyle w:val="Compact"/>
      </w:pPr>
      <w:r>
        <w:rPr>
          <w:bCs/>
          <w:b/>
        </w:rPr>
        <w:t xml:space="preserve">Digital Channel:</w:t>
      </w:r>
      <w:r>
        <w:t xml:space="preserve"> </w:t>
      </w:r>
      <w:r>
        <w:t xml:space="preserve">$950K revenue (+31% YoY) – Surpassed all offline channels due to localized social commerce campaigns</w:t>
      </w:r>
    </w:p>
    <w:p>
      <w:pPr>
        <w:pStyle w:val="FirstParagraph"/>
      </w:pPr>
      <w:r>
        <w:t xml:space="preserve">This Sales Report highlights how Mason's investment in Argentina Buenos Aires' digital infrastructure yielded 28% of total sales through platform-specific promotions. Our partnership with Mercado Libre for exclusive Buenos Aires product bundles contributed significantly to this growth.</w:t>
      </w:r>
    </w:p>
    <w:bookmarkEnd w:id="23"/>
    <w:bookmarkStart w:id="24" w:name="Xd2b240d726c2afd578739bd2f74c6e8d174e660"/>
    <w:p>
      <w:pPr>
        <w:pStyle w:val="Heading2"/>
      </w:pPr>
      <w:r>
        <w:t xml:space="preserve">V. Strategic Initiatives Driving Success in Argentina Buenos Aires</w:t>
      </w:r>
    </w:p>
    <w:p>
      <w:pPr>
        <w:pStyle w:val="FirstParagraph"/>
      </w:pPr>
      <w:r>
        <w:t xml:space="preserve">Several targeted initiatives have positioned Mason for sustained growth in Argentina Buenos Aires:</w:t>
      </w:r>
    </w:p>
    <w:p>
      <w:pPr>
        <w:numPr>
          <w:ilvl w:val="0"/>
          <w:numId w:val="1003"/>
        </w:numPr>
        <w:pStyle w:val="Compact"/>
      </w:pPr>
      <w:r>
        <w:rPr>
          <w:bCs/>
          <w:b/>
        </w:rPr>
        <w:t xml:space="preserve">Local Manufacturing Partnership:</w:t>
      </w:r>
      <w:r>
        <w:t xml:space="preserve"> </w:t>
      </w:r>
      <w:r>
        <w:t xml:space="preserve">Established production facility in Morón (Buenos Aires), reducing import costs by 23% and enabling faster supply response to Argentina Buenos Aires market demands.</w:t>
      </w:r>
    </w:p>
    <w:p>
      <w:pPr>
        <w:numPr>
          <w:ilvl w:val="0"/>
          <w:numId w:val="1003"/>
        </w:numPr>
        <w:pStyle w:val="Compact"/>
      </w:pPr>
      <w:r>
        <w:rPr>
          <w:bCs/>
          <w:b/>
        </w:rPr>
        <w:t xml:space="preserve">Cultural Engagement Program:</w:t>
      </w:r>
      <w:r>
        <w:t xml:space="preserve"> </w:t>
      </w:r>
      <w:r>
        <w:t xml:space="preserve">Launched "Mason &amp; Pueblos" initiative featuring local artists on packaging – increased brand affinity by 34% among Buenos Aires consumers per recent surveys.</w:t>
      </w:r>
    </w:p>
    <w:p>
      <w:pPr>
        <w:numPr>
          <w:ilvl w:val="0"/>
          <w:numId w:val="1003"/>
        </w:numPr>
        <w:pStyle w:val="Compact"/>
      </w:pPr>
      <w:r>
        <w:rPr>
          <w:bCs/>
          <w:b/>
        </w:rPr>
        <w:t xml:space="preserve">Hyperlocal Pricing Strategy:</w:t>
      </w:r>
      <w:r>
        <w:t xml:space="preserve"> </w:t>
      </w:r>
      <w:r>
        <w:t xml:space="preserve">Implemented dynamic pricing model responsive to Argentina Buenos Aires' monthly inflation changes, maintaining competitiveness without margin erosion.</w:t>
      </w:r>
    </w:p>
    <w:p>
      <w:pPr>
        <w:numPr>
          <w:ilvl w:val="0"/>
          <w:numId w:val="1003"/>
        </w:numPr>
        <w:pStyle w:val="Compact"/>
      </w:pPr>
      <w:r>
        <w:rPr>
          <w:bCs/>
          <w:b/>
        </w:rPr>
        <w:t xml:space="preserve">Talent Development:</w:t>
      </w:r>
      <w:r>
        <w:t xml:space="preserve"> </w:t>
      </w:r>
      <w:r>
        <w:t xml:space="preserve">Hired 12 local sales managers with deep Buenos Aires market knowledge, directly improving client relationships and distribution efficiency.</w:t>
      </w:r>
    </w:p>
    <w:bookmarkEnd w:id="24"/>
    <w:bookmarkStart w:id="25" w:name="vi.-challenges-mitigation-strategies"/>
    <w:p>
      <w:pPr>
        <w:pStyle w:val="Heading2"/>
      </w:pPr>
      <w:r>
        <w:t xml:space="preserve">VI. Challenges &amp; Mitigation Strategies</w:t>
      </w:r>
    </w:p>
    <w:p>
      <w:pPr>
        <w:pStyle w:val="FirstParagraph"/>
      </w:pPr>
      <w:r>
        <w:t xml:space="preserve">The Sales Report identifies ongoing challenges specific to Argentina Buenos Aires operations:</w:t>
      </w:r>
    </w:p>
    <w:p>
      <w:pPr>
        <w:numPr>
          <w:ilvl w:val="0"/>
          <w:numId w:val="1004"/>
        </w:numPr>
        <w:pStyle w:val="Compact"/>
      </w:pPr>
      <w:r>
        <w:rPr>
          <w:bCs/>
          <w:b/>
        </w:rPr>
        <w:t xml:space="preserve">Currency Volatility:</w:t>
      </w:r>
      <w:r>
        <w:t xml:space="preserve"> </w:t>
      </w:r>
      <w:r>
        <w:t xml:space="preserve">Implemented monthly pricing adjustments aligned with Argentina's official exchange rate, minimizing revenue impact from peso devaluation.</w:t>
      </w:r>
    </w:p>
    <w:p>
      <w:pPr>
        <w:numPr>
          <w:ilvl w:val="0"/>
          <w:numId w:val="1004"/>
        </w:numPr>
        <w:pStyle w:val="Compact"/>
      </w:pPr>
      <w:r>
        <w:rPr>
          <w:bCs/>
          <w:b/>
        </w:rPr>
        <w:t xml:space="preserve">Logistics Constraints:</w:t>
      </w:r>
      <w:r>
        <w:t xml:space="preserve"> </w:t>
      </w:r>
      <w:r>
        <w:t xml:space="preserve">Partnered with local logistics provider "TransBaires" to reduce delivery times by 40% across Buenos Aires metropolitan area.</w:t>
      </w:r>
    </w:p>
    <w:p>
      <w:pPr>
        <w:numPr>
          <w:ilvl w:val="0"/>
          <w:numId w:val="1004"/>
        </w:numPr>
        <w:pStyle w:val="Compact"/>
      </w:pPr>
      <w:r>
        <w:rPr>
          <w:bCs/>
          <w:b/>
        </w:rPr>
        <w:t xml:space="preserve">Competition Pressure:</w:t>
      </w:r>
      <w:r>
        <w:t xml:space="preserve"> </w:t>
      </w:r>
      <w:r>
        <w:t xml:space="preserve">Launched differentiated subscription model ("Mason Buenos Aires Club") offering exclusive access to regional product launches, securing 15% market share in premium segment.</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results and market intelligence, this Sales Report recommends the following priorities for Mason in Argentina Buenos Aires:</w:t>
      </w:r>
    </w:p>
    <w:p>
      <w:pPr>
        <w:numPr>
          <w:ilvl w:val="0"/>
          <w:numId w:val="1005"/>
        </w:numPr>
        <w:pStyle w:val="Compact"/>
      </w:pPr>
      <w:r>
        <w:rPr>
          <w:bCs/>
          <w:b/>
        </w:rPr>
        <w:t xml:space="preserve">Expand Local Production:</w:t>
      </w:r>
      <w:r>
        <w:t xml:space="preserve"> </w:t>
      </w:r>
      <w:r>
        <w:t xml:space="preserve">Allocate $1.2M to increase capacity at Morón facility by 50% to meet projected 2024 demand in Argentina Buenos Aires.</w:t>
      </w:r>
    </w:p>
    <w:p>
      <w:pPr>
        <w:numPr>
          <w:ilvl w:val="0"/>
          <w:numId w:val="1005"/>
        </w:numPr>
        <w:pStyle w:val="Compact"/>
      </w:pPr>
      <w:r>
        <w:rPr>
          <w:bCs/>
          <w:b/>
        </w:rPr>
        <w:t xml:space="preserve">Sustain Digital Leadership:</w:t>
      </w:r>
      <w:r>
        <w:t xml:space="preserve"> </w:t>
      </w:r>
      <w:r>
        <w:t xml:space="preserve">Invest $750K in Argentina Buenos Aires-specific social commerce campaigns targeting Gen-Z consumers through TikTok and Instagram.</w:t>
      </w:r>
    </w:p>
    <w:bookmarkEnd w:id="26"/>
    <w:bookmarkStart w:id="27" w:name="viii.-conclusion"/>
    <w:p>
      <w:pPr>
        <w:pStyle w:val="Heading2"/>
      </w:pPr>
      <w:r>
        <w:t xml:space="preserve">VIII. Conclusion</w:t>
      </w:r>
    </w:p>
    <w:p>
      <w:pPr>
        <w:pStyle w:val="FirstParagraph"/>
      </w:pPr>
      <w:r>
        <w:t xml:space="preserve">The Q3 2023 Sales Report confirms Mason's robust position in Argentina Buenos Aires as a market leader demonstrating exceptional adaptability in complex economic environments. Our strategic focus on localization, digital innovation, and community engagement has created sustainable growth that outperforms regional competitors. As we enter the critical holiday season for Argentina Buenos Aires, Mason is uniquely positioned to leverage this momentum with the proven execution framework documented in this Sales Report.</w:t>
      </w:r>
    </w:p>
    <w:p>
      <w:pPr>
        <w:pStyle w:val="BodyText"/>
      </w:pPr>
      <w:r>
        <w:t xml:space="preserve">Looking ahead to 2024, Argentina Buenos Aires will remain a strategic priority as Mason's flagship South American market. The success achieved through our Argentina-focused initiatives proves that cultural intelligence combined with operational excellence delivers superior commercial outcomes. This Sales Report serves as both an accomplishment document and roadmap for cementing Mason's leadership position in the vibrant Argentine capital.</w:t>
      </w:r>
    </w:p>
    <w:p>
      <w:pPr>
        <w:pStyle w:val="BodyText"/>
      </w:pPr>
      <w:r>
        <w:rPr>
          <w:bCs/>
          <w:b/>
        </w:rPr>
        <w:t xml:space="preserve">Prepared By:</w:t>
      </w:r>
      <w:r>
        <w:t xml:space="preserve"> </w:t>
      </w:r>
      <w:r>
        <w:t xml:space="preserve">Global Sales Analytics Division</w:t>
      </w:r>
      <w:r>
        <w:br/>
      </w:r>
      <w:r>
        <w:rPr>
          <w:bCs/>
          <w:b/>
        </w:rPr>
        <w:t xml:space="preserve">Mason International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Operations in Argentina Buenos Aires</dc:title>
  <dc:creator/>
  <cp:keywords/>
  <dcterms:created xsi:type="dcterms:W3CDTF">2026-07-23T12:59:36Z</dcterms:created>
  <dcterms:modified xsi:type="dcterms:W3CDTF">2026-07-23T12:59:36Z</dcterms:modified>
</cp:coreProperties>
</file>

<file path=docProps/custom.xml><?xml version="1.0" encoding="utf-8"?>
<Properties xmlns="http://schemas.openxmlformats.org/officeDocument/2006/custom-properties" xmlns:vt="http://schemas.openxmlformats.org/officeDocument/2006/docPropsVTypes"/>
</file>