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31" w:name="Xb8b84c200b6287ee05a00542a2f24bc606408e2"/>
    <w:p>
      <w:pPr>
        <w:pStyle w:val="Heading1"/>
      </w:pPr>
      <w:r>
        <w:t xml:space="preserve">Sales Report: Mason's Strategic Performance in Australia Brisbane Market</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Location:</w:t>
      </w:r>
      <w:r>
        <w:t xml:space="preserve"> </w:t>
      </w:r>
      <w:r>
        <w:t xml:space="preserve">Australia Brisbane</w:t>
      </w:r>
    </w:p>
    <w:bookmarkStart w:id="20" w:name="i.-executive-summary"/>
    <w:p>
      <w:pPr>
        <w:pStyle w:val="Heading2"/>
      </w:pPr>
      <w:r>
        <w:t xml:space="preserve">I. Executive Summary</w:t>
      </w:r>
    </w:p>
    <w:p>
      <w:pPr>
        <w:pStyle w:val="FirstParagraph"/>
      </w:pPr>
      <w:r>
        <w:t xml:space="preserve">This comprehensive Sales Report details Mason's market performance across Australia Brisbane during Q3 2023. The report confirms Mason has achieved a remarkable 18.7% year-over-year growth in the Brisbane metropolitan area, significantly outperforming regional competitors and establishing new benchmarks for sales excellence in Australia Brisbane. This Sales Report serves as critical evidence of Mason's strategic adaptation to Queensland's unique consumer landscape, directly contributing to our national expansion goals.</w:t>
      </w:r>
    </w:p>
    <w:bookmarkEnd w:id="20"/>
    <w:bookmarkStart w:id="21" w:name="X2a85e1d6063cdad2f3103b3b71627a232c0adbd"/>
    <w:p>
      <w:pPr>
        <w:pStyle w:val="Heading2"/>
      </w:pPr>
      <w:r>
        <w:t xml:space="preserve">II. Market Context: Mason in Australia Brisbane</w:t>
      </w:r>
    </w:p>
    <w:p>
      <w:pPr>
        <w:pStyle w:val="FirstParagraph"/>
      </w:pPr>
      <w:r>
        <w:t xml:space="preserve">Australia Brisbane represents a pivotal growth corridor for Mason, where we've strategically positioned ourselves at the forefront of premium home appliances. The Brisbane market—characterized by its rapidly expanding urban population (over 4.8 million residents), high disposable income levels, and strong demand for energy-efficient solutions—has become Mason's most profitable regional hub in Australia. This Sales Report highlights how Mason's localized approach has transformed our Brisbane presence from a secondary market to the flagship operation driving national revenue.</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w:t>
            </w:r>
          </w:p>
        </w:tc>
        <w:tc>
          <w:tcPr/>
          <w:p>
            <w:pPr>
              <w:pStyle w:val="Compact"/>
              <w:jc w:val="left"/>
            </w:pPr>
            <w:r>
              <w:t xml:space="preserve">Q3 2022 (A$)</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$18.7M</w:t>
            </w:r>
          </w:p>
        </w:tc>
        <w:tc>
          <w:tcPr/>
          <w:p>
            <w:pPr>
              <w:pStyle w:val="Compact"/>
              <w:jc w:val="left"/>
            </w:pPr>
            <w:r>
              <w:t xml:space="preserve">$15.8M</w:t>
            </w:r>
          </w:p>
        </w:tc>
        <w:tc>
          <w:tcPr/>
          <w:p>
            <w:pPr>
              <w:pStyle w:val="Compact"/>
              <w:jc w:val="left"/>
            </w:pPr>
            <w:r>
              <w:t xml:space="preserve">+18.3%</w:t>
            </w:r>
          </w:p>
        </w:tc>
      </w:tr>
      <w:tr>
        <w:tc>
          <w:tcPr/>
          <w:p>
            <w:pPr>
              <w:pStyle w:val="Compact"/>
              <w:jc w:val="left"/>
            </w:pPr>
            <w:r>
              <w:t xml:space="preserve">Unit Sales Volume</w:t>
            </w:r>
          </w:p>
        </w:tc>
        <w:tc>
          <w:tcPr/>
          <w:p>
            <w:pPr>
              <w:pStyle w:val="Compact"/>
              <w:jc w:val="left"/>
            </w:pPr>
            <w:r>
              <w:t xml:space="preserve">24,500 units</w:t>
            </w:r>
          </w:p>
        </w:tc>
        <w:tc>
          <w:tcPr/>
          <w:p>
            <w:pPr>
              <w:pStyle w:val="Compact"/>
              <w:jc w:val="left"/>
            </w:pPr>
            <w:r>
              <w:t xml:space="preserve">20,900 units</w:t>
            </w:r>
          </w:p>
        </w:tc>
        <w:tc>
          <w:tcPr/>
          <w:p>
            <w:pPr>
              <w:pStyle w:val="Compact"/>
              <w:jc w:val="left"/>
            </w:pPr>
            <w:r>
              <w:t xml:space="preserve">+17.2%</w:t>
            </w:r>
          </w:p>
        </w:tc>
      </w:tr>
      <w:tr>
        <w:tc>
          <w:tcPr/>
          <w:p>
            <w:pPr>
              <w:pStyle w:val="Compact"/>
              <w:jc w:val="left"/>
            </w:pPr>
            <w:r>
              <w:t xml:space="preserve">Avg. Transaction Value</w:t>
            </w:r>
          </w:p>
        </w:tc>
        <w:tc>
          <w:tcPr/>
          <w:p>
            <w:pPr>
              <w:pStyle w:val="Compact"/>
              <w:jc w:val="left"/>
            </w:pPr>
            <w:r>
              <w:t xml:space="preserve">$763</w:t>
            </w:r>
          </w:p>
        </w:tc>
        <w:tc>
          <w:tcPr/>
          <w:p>
            <w:pPr>
              <w:pStyle w:val="Compact"/>
              <w:jc w:val="left"/>
            </w:pPr>
            <w:r>
              <w:t xml:space="preserve">$755</w:t>
            </w:r>
          </w:p>
        </w:tc>
        <w:tc>
          <w:tcPr/>
          <w:p>
            <w:pPr>
              <w:pStyle w:val="Compact"/>
              <w:jc w:val="left"/>
            </w:pPr>
            <w:r>
              <w:t xml:space="preserve">+1.1%</w:t>
            </w:r>
          </w:p>
        </w:tc>
      </w:tr>
      <w:tr>
        <w:tc>
          <w:tcPr/>
          <w:p>
            <w:pPr>
              <w:pStyle w:val="Compact"/>
              <w:jc w:val="left"/>
            </w:pPr>
            <w:r>
              <w:t xml:space="preserve">Market Share (Premium Segment)</w:t>
            </w:r>
          </w:p>
        </w:tc>
        <w:tc>
          <w:tcPr/>
          <w:p>
            <w:pPr>
              <w:pStyle w:val="Compact"/>
              <w:jc w:val="left"/>
            </w:pPr>
            <w:r>
              <w:t xml:space="preserve">28.6%</w:t>
            </w:r>
          </w:p>
        </w:tc>
        <w:tc>
          <w:tcPr/>
          <w:p>
            <w:pPr>
              <w:pStyle w:val="Compact"/>
              <w:jc w:val="left"/>
            </w:pPr>
            <w:r>
              <w:t xml:space="preserve">24.1%</w:t>
            </w:r>
          </w:p>
        </w:tc>
        <w:tc>
          <w:tcPr/>
          <w:p>
            <w:pPr>
              <w:pStyle w:val="Compact"/>
              <w:jc w:val="left"/>
            </w:pPr>
            <w:r>
              <w:t xml:space="preserve">+4.5 pp</w:t>
            </w:r>
          </w:p>
        </w:tc>
      </w:tr>
    </w:tbl>
    <w:p>
      <w:pPr>
        <w:pStyle w:val="BodyText"/>
      </w:pPr>
      <w:r>
        <w:t xml:space="preserve">The data confirms Mason's strategic investments in Brisbane-specific marketing and dealer partnerships have yielded exceptional results. Notably, our premium kitchen appliance line (Mason Fusion Series) achieved 32% market share in Brisbane—surpassing competitors by 14 points. This Sales Report demonstrates how Mason's localized product adaptation (including humidity-resistant features for Brisbane's subtropical climate) directly drives customer acquisition in Australia Brisbane.</w:t>
      </w:r>
    </w:p>
    <w:bookmarkEnd w:id="22"/>
    <w:bookmarkStart w:id="26" w:name="X35931417502a7655083075c488efd136267b23b"/>
    <w:p>
      <w:pPr>
        <w:pStyle w:val="Heading2"/>
      </w:pPr>
      <w:r>
        <w:t xml:space="preserve">IV. Regional Sales Breakdown: Australia Brisbane</w:t>
      </w:r>
    </w:p>
    <w:p>
      <w:pPr>
        <w:pStyle w:val="FirstParagraph"/>
      </w:pPr>
      <w:r>
        <w:t xml:space="preserve">Brisbane's sales performance is segmented into three strategic zones for this Sales Report:</w:t>
      </w:r>
    </w:p>
    <w:bookmarkStart w:id="23" w:name="Xc9b03c761fd210e2631af7a495d61d1275163ae"/>
    <w:p>
      <w:pPr>
        <w:pStyle w:val="Heading3"/>
      </w:pPr>
      <w:r>
        <w:t xml:space="preserve">1. Inner City &amp; Coastal Suburbs (Brisbane CBD, Fortitude Valley, South Bank)</w:t>
      </w:r>
    </w:p>
    <w:p>
      <w:pPr>
        <w:pStyle w:val="FirstParagraph"/>
      </w:pPr>
      <w:r>
        <w:t xml:space="preserve">Revenue: $9.2M (+21% YoY). Mason's focus on luxury apartment installations drove 40% of sales here. The "Mason Urban Living" campaign targeting young professionals achieved 35% higher conversion rates than national averages.</w:t>
      </w:r>
    </w:p>
    <w:bookmarkEnd w:id="23"/>
    <w:bookmarkStart w:id="24" w:name="X0cf0cdbb0eaa73a0485e7738bcbb8d6916e3962"/>
    <w:p>
      <w:pPr>
        <w:pStyle w:val="Heading3"/>
      </w:pPr>
      <w:r>
        <w:t xml:space="preserve">2. Western Suburbs (Brisbane West, Ipswich, Logan)</w:t>
      </w:r>
    </w:p>
    <w:p>
      <w:pPr>
        <w:pStyle w:val="FirstParagraph"/>
      </w:pPr>
      <w:r>
        <w:t xml:space="preserve">Revenue: $6.8M (+17% YoY). Mason's partnership with major retailers like The Good Guys delivered 24% growth in this volume-driven market. Our "Family Home Bundle" pricing strategy resonated strongly with suburban households.</w:t>
      </w:r>
    </w:p>
    <w:bookmarkEnd w:id="24"/>
    <w:bookmarkStart w:id="25" w:name="Xa4414ef4f4c79b1573cb7fa6c2097fd9616bf7c"/>
    <w:p>
      <w:pPr>
        <w:pStyle w:val="Heading3"/>
      </w:pPr>
      <w:r>
        <w:t xml:space="preserve">3. Northern Corridor (Gold Coast, Redland City)</w:t>
      </w:r>
    </w:p>
    <w:p>
      <w:pPr>
        <w:pStyle w:val="FirstParagraph"/>
      </w:pPr>
      <w:r>
        <w:t xml:space="preserve">Revenue: $2.7M (+15% YoY). Despite proximity to competing markets, Mason captured 22% of premium appliance sales through targeted beachfront community sponsorships and humidity-specific product demonstrations.</w:t>
      </w:r>
    </w:p>
    <w:bookmarkEnd w:id="25"/>
    <w:bookmarkEnd w:id="26"/>
    <w:bookmarkStart w:id="27" w:name="v.-strategic-initiatives-driving-success"/>
    <w:p>
      <w:pPr>
        <w:pStyle w:val="Heading2"/>
      </w:pPr>
      <w:r>
        <w:t xml:space="preserve">V. Strategic Initiatives Driving Success</w:t>
      </w:r>
    </w:p>
    <w:p>
      <w:pPr>
        <w:pStyle w:val="FirstParagraph"/>
      </w:pPr>
      <w:r>
        <w:t xml:space="preserve">This Sales Report credits three key Mason initiatives for Brisbane dominance:</w:t>
      </w:r>
    </w:p>
    <w:p>
      <w:pPr>
        <w:numPr>
          <w:ilvl w:val="0"/>
          <w:numId w:val="1001"/>
        </w:numPr>
        <w:pStyle w:val="Compact"/>
      </w:pPr>
      <w:r>
        <w:rPr>
          <w:bCs/>
          <w:b/>
        </w:rPr>
        <w:t xml:space="preserve">Climate-Adaptive Product Suite:</w:t>
      </w:r>
      <w:r>
        <w:t xml:space="preserve"> </w:t>
      </w:r>
      <w:r>
        <w:t xml:space="preserve">Mason's Brisbane-exclusive "Brisbane Shield" technology (preventing corrosion in high-humidity environments) became our top-selling feature, driving 62% of premium appliance sales.</w:t>
      </w:r>
    </w:p>
    <w:p>
      <w:pPr>
        <w:numPr>
          <w:ilvl w:val="0"/>
          <w:numId w:val="1001"/>
        </w:numPr>
        <w:pStyle w:val="Compact"/>
      </w:pPr>
      <w:r>
        <w:rPr>
          <w:bCs/>
          <w:b/>
        </w:rPr>
        <w:t xml:space="preserve">Dealer Network Expansion:</w:t>
      </w:r>
      <w:r>
        <w:t xml:space="preserve"> </w:t>
      </w:r>
      <w:r>
        <w:t xml:space="preserve">Adding 14 new authorized dealers across Brisbane suburbs increased market coverage by 37%, directly contributing to the Q3 revenue surge.</w:t>
      </w:r>
    </w:p>
    <w:p>
      <w:pPr>
        <w:numPr>
          <w:ilvl w:val="0"/>
          <w:numId w:val="1001"/>
        </w:numPr>
        <w:pStyle w:val="Compact"/>
      </w:pPr>
      <w:r>
        <w:rPr>
          <w:bCs/>
          <w:b/>
        </w:rPr>
        <w:t xml:space="preserve">Hyper-Local Marketing:</w:t>
      </w:r>
      <w:r>
        <w:t xml:space="preserve"> </w:t>
      </w:r>
      <w:r>
        <w:t xml:space="preserve">Mason's partnership with Brisbane Sustainability Council for "Energy Smart Homes" events generated 892 qualified leads—2.4x our target—and positioned us as an eco-conscious brand in Australia Brisbane.</w:t>
      </w:r>
    </w:p>
    <w:bookmarkEnd w:id="27"/>
    <w:bookmarkStart w:id="28" w:name="vi.-challenges-competitive-landscape"/>
    <w:p>
      <w:pPr>
        <w:pStyle w:val="Heading2"/>
      </w:pPr>
      <w:r>
        <w:t xml:space="preserve">VI. Challenges &amp; Competitive Landscape</w:t>
      </w:r>
    </w:p>
    <w:p>
      <w:pPr>
        <w:pStyle w:val="FirstParagraph"/>
      </w:pPr>
      <w:r>
        <w:t xml:space="preserve">Despite strong growth, this Sales Report identifies two critical challenges specific to Australia Brisbane:</w:t>
      </w:r>
    </w:p>
    <w:p>
      <w:pPr>
        <w:numPr>
          <w:ilvl w:val="0"/>
          <w:numId w:val="1002"/>
        </w:numPr>
        <w:pStyle w:val="Compact"/>
      </w:pPr>
      <w:r>
        <w:rPr>
          <w:bCs/>
          <w:b/>
        </w:rPr>
        <w:t xml:space="preserve">Logistics Complexity:</w:t>
      </w:r>
      <w:r>
        <w:t xml:space="preserve"> </w:t>
      </w:r>
      <w:r>
        <w:t xml:space="preserve">High shipping costs for bulky appliances within Brisbane's geography (83% of sales required local delivery) impacted profit margins by 4.2%. Mason is implementing a new distribution hub in Acacia Ridge to resolve this.</w:t>
      </w:r>
    </w:p>
    <w:p>
      <w:pPr>
        <w:numPr>
          <w:ilvl w:val="0"/>
          <w:numId w:val="1002"/>
        </w:numPr>
        <w:pStyle w:val="Compact"/>
      </w:pPr>
      <w:r>
        <w:rPr>
          <w:bCs/>
          <w:b/>
        </w:rPr>
        <w:t xml:space="preserve">Competitor Price Wars:</w:t>
      </w:r>
      <w:r>
        <w:t xml:space="preserve"> </w:t>
      </w:r>
      <w:r>
        <w:t xml:space="preserve">Local brands like Electrolux launched aggressive discounting in Q3, temporarily eroding our market share in mid-tier segments. Mason countered with value-added services (free installation for orders over $1k), preserving 92% of affected customers.</w:t>
      </w:r>
    </w:p>
    <w:bookmarkEnd w:id="28"/>
    <w:bookmarkStart w:id="29" w:name="vii.-future-outlook-recommendations"/>
    <w:p>
      <w:pPr>
        <w:pStyle w:val="Heading2"/>
      </w:pPr>
      <w:r>
        <w:t xml:space="preserve">VII. Future Outlook &amp; Recommendations</w:t>
      </w:r>
    </w:p>
    <w:p>
      <w:pPr>
        <w:pStyle w:val="FirstParagraph"/>
      </w:pPr>
      <w:r>
        <w:t xml:space="preserve">The Australia Brisbane market represents Mason's most promising growth engine in Australia, with projected 20% revenue expansion in Q4 2023. This Sales Report recommends three actions:</w:t>
      </w:r>
    </w:p>
    <w:p>
      <w:pPr>
        <w:numPr>
          <w:ilvl w:val="0"/>
          <w:numId w:val="1003"/>
        </w:numPr>
        <w:pStyle w:val="Compact"/>
      </w:pPr>
      <w:r>
        <w:rPr>
          <w:bCs/>
          <w:b/>
        </w:rPr>
        <w:t xml:space="preserve">Invest $1.5M in Brisbane Distribution Hub:</w:t>
      </w:r>
      <w:r>
        <w:t xml:space="preserve"> </w:t>
      </w:r>
      <w:r>
        <w:t xml:space="preserve">To reduce delivery times by 65% and cut logistics costs by A$380k annually.</w:t>
      </w:r>
    </w:p>
    <w:p>
      <w:pPr>
        <w:numPr>
          <w:ilvl w:val="0"/>
          <w:numId w:val="1003"/>
        </w:numPr>
        <w:pStyle w:val="Compact"/>
      </w:pPr>
      <w:r>
        <w:rPr>
          <w:bCs/>
          <w:b/>
        </w:rPr>
        <w:t xml:space="preserve">Leverage Brisbane's Sustainability Trends:</w:t>
      </w:r>
      <w:r>
        <w:t xml:space="preserve"> </w:t>
      </w:r>
      <w:r>
        <w:t xml:space="preserve">Launch Mason's first carbon-neutral appliance line targeting Queensland's Green Building Council initiatives.</w:t>
      </w:r>
    </w:p>
    <w:p>
      <w:pPr>
        <w:numPr>
          <w:ilvl w:val="0"/>
          <w:numId w:val="1003"/>
        </w:numPr>
        <w:pStyle w:val="Compact"/>
      </w:pPr>
      <w:r>
        <w:rPr>
          <w:bCs/>
          <w:b/>
        </w:rPr>
        <w:t xml:space="preserve">Expand Dealer Training Program:</w:t>
      </w:r>
      <w:r>
        <w:t xml:space="preserve"> </w:t>
      </w:r>
      <w:r>
        <w:t xml:space="preserve">Certify 50 new Brisbane-based technicians to support our 40% projected increase in service contracts.</w:t>
      </w:r>
    </w:p>
    <w:bookmarkEnd w:id="29"/>
    <w:bookmarkStart w:id="30" w:name="Xbbaf4a3fc1b193ece64b441ac3aa02902280fed"/>
    <w:p>
      <w:pPr>
        <w:pStyle w:val="Heading2"/>
      </w:pPr>
      <w:r>
        <w:t xml:space="preserve">VIII. Conclusion: Mason's Brisbane Momentum</w:t>
      </w:r>
    </w:p>
    <w:p>
      <w:pPr>
        <w:pStyle w:val="FirstParagraph"/>
      </w:pPr>
      <w:r>
        <w:t xml:space="preserve">This Sales Report unequivocally demonstrates that Mason has transformed Australia Brisbane from a regional market into a strategic cornerstone for our Australian operations. The 18.7% YoY growth—far exceeding the national average of 9.3%—proves our localized approach is delivering superior results in one of the world's most dynamic consumer markets. Mason's success in Brisbane isn't accidental; it stems from deep market understanding, climate-responsive innovation, and relentless focus on Brisbane-specific customer needs.</w:t>
      </w:r>
    </w:p>
    <w:p>
      <w:pPr>
        <w:pStyle w:val="BodyText"/>
      </w:pPr>
      <w:r>
        <w:t xml:space="preserve">As we move into 2024, Australia Brisbane will serve as the blueprint for our national expansion strategy. The data in this Sales Report confirms Mason's operational excellence and market leadership position in Queensland—making our Brisbane team not just a regional success story, but the engine powering Mason's entire Australian future.</w:t>
      </w:r>
    </w:p>
    <w:p>
      <w:pPr>
        <w:pStyle w:val="BodyText"/>
      </w:pPr>
      <w:r>
        <w:rPr>
          <w:bCs/>
          <w:b/>
        </w:rPr>
        <w:t xml:space="preserve">Prepared by:</w:t>
      </w:r>
      <w:r>
        <w:t xml:space="preserve"> </w:t>
      </w:r>
      <w:r>
        <w:t xml:space="preserve">Mason Australia Sales Analytics Team</w:t>
      </w:r>
      <w:r>
        <w:br/>
      </w:r>
      <w:r>
        <w:rPr>
          <w:bCs/>
          <w:b/>
        </w:rPr>
        <w:t xml:space="preserve">Contact:</w:t>
      </w:r>
      <w:r>
        <w:t xml:space="preserve"> </w:t>
      </w:r>
      <w:r>
        <w:t xml:space="preserve">sales.analytics@mason.com.au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Performance in Australia Brisbane</dc:title>
  <dc:creator/>
  <dc:language>en</dc:language>
  <cp:keywords/>
  <dcterms:created xsi:type="dcterms:W3CDTF">2026-07-23T04:51:13Z</dcterms:created>
  <dcterms:modified xsi:type="dcterms:W3CDTF">2026-07-23T04:51:13Z</dcterms:modified>
</cp:coreProperties>
</file>

<file path=docProps/custom.xml><?xml version="1.0" encoding="utf-8"?>
<Properties xmlns="http://schemas.openxmlformats.org/officeDocument/2006/custom-properties" xmlns:vt="http://schemas.openxmlformats.org/officeDocument/2006/docPropsVTypes"/>
</file>