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Australia</w:t>
      </w:r>
      <w:r>
        <w:t xml:space="preserve"> </w:t>
      </w:r>
      <w:r>
        <w:t xml:space="preserve">Melbourne</w:t>
      </w:r>
    </w:p>
    <w:bookmarkStart w:id="29" w:name="X48df7ba476ed80b34671dac75c6a6e6cca02d72"/>
    <w:p>
      <w:pPr>
        <w:pStyle w:val="Heading1"/>
      </w:pPr>
      <w:r>
        <w:t xml:space="preserve">Mason Sales Performance Report</w:t>
      </w:r>
      <w:r>
        <w:br/>
      </w:r>
      <w:r>
        <w:t xml:space="preserve">Australia Melbourne Market Analysis</w:t>
      </w:r>
    </w:p>
    <w:p>
      <w:pPr>
        <w:pStyle w:val="FirstParagraph"/>
      </w:pPr>
      <w:r>
        <w:rPr>
          <w:bCs/>
          <w:b/>
        </w:rPr>
        <w:t xml:space="preserve">Prepared For:</w:t>
      </w:r>
      <w:r>
        <w:t xml:space="preserve"> </w:t>
      </w:r>
      <w:r>
        <w:t xml:space="preserve">Mason Executive Leadership Team</w:t>
      </w:r>
      <w:r>
        <w:br/>
      </w:r>
      <w:r>
        <w:rPr>
          <w:bCs/>
          <w:b/>
        </w:rPr>
        <w:t xml:space="preserve">Reporting Period:</w:t>
      </w:r>
      <w:r>
        <w:t xml:space="preserve"> </w:t>
      </w:r>
      <w:r>
        <w:t xml:space="preserve">Q3 2023 (July-September)</w:t>
      </w:r>
      <w:r>
        <w:br/>
      </w:r>
      <w:r>
        <w:rPr>
          <w:bCs/>
          <w:b/>
        </w:rPr>
        <w:t xml:space="preserve">Date Prepared:</w:t>
      </w:r>
      <w:r>
        <w:t xml:space="preserve"> </w:t>
      </w:r>
      <w:r>
        <w:t xml:space="preserve">October 15, 2023</w:t>
      </w:r>
      <w:r>
        <w:br/>
      </w:r>
      <w:r>
        <w:rPr>
          <w:bCs/>
          <w:b/>
        </w:rPr>
        <w:t xml:space="preserve">Location Focus:</w:t>
      </w:r>
      <w:r>
        <w:t xml:space="preserve"> </w:t>
      </w:r>
      <w:r>
        <w:t xml:space="preserve">Australia Melbourne Metro Region</w:t>
      </w:r>
    </w:p>
    <w:bookmarkStart w:id="20" w:name="executive-summary"/>
    <w:p>
      <w:pPr>
        <w:pStyle w:val="Heading2"/>
      </w:pPr>
      <w:r>
        <w:t xml:space="preserve">Executive Summary</w:t>
      </w:r>
    </w:p>
    <w:p>
      <w:pPr>
        <w:pStyle w:val="FirstParagraph"/>
      </w:pPr>
      <w:r>
        <w:t xml:space="preserve">The Mason Sales Report for Australia Melbourne demonstrates exceptional market penetration and growth momentum in one of our most strategic regional hubs. Throughout Q3, the Melbourne operations achieved a remarkable 28% year-over-year sales increase, significantly outperforming both national Australian benchmarks (12%) and our global average (18%). This outstanding performance underscores Mason's deepening commitment to the Australian market and validates our tailored approach to the Melbourne business ecosystem. The report details key drivers behind this success while providing actionable insights for sustaining growth in Australia Melbourne's competitive landscape.</w:t>
      </w:r>
    </w:p>
    <w:bookmarkEnd w:id="20"/>
    <w:bookmarkStart w:id="21" w:name="regional-sales-performance-snapshot"/>
    <w:p>
      <w:pPr>
        <w:pStyle w:val="Heading2"/>
      </w:pPr>
      <w:r>
        <w:t xml:space="preserve">Regional Sales Performance Snapshot</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Australian Avg.</w:t>
      </w:r>
    </w:p>
    <w:p>
      <w:pPr>
        <w:pStyle w:val="BodyText"/>
      </w:pPr>
      <w:r>
        <w:t xml:space="preserve">Total Revenue (AUD)</w:t>
      </w:r>
    </w:p>
    <w:p>
      <w:pPr>
        <w:pStyle w:val="BodyText"/>
      </w:pPr>
      <w:r>
        <w:t xml:space="preserve">$4,275,000</w:t>
      </w:r>
    </w:p>
    <w:p>
      <w:pPr>
        <w:pStyle w:val="BodyText"/>
      </w:pPr>
      <w:r>
        <w:t xml:space="preserve">$3,652,000</w:t>
      </w:r>
    </w:p>
    <w:p>
      <w:pPr>
        <w:pStyle w:val="BodyText"/>
      </w:pPr>
      <w:r>
        <w:t xml:space="preserve">+28%</w:t>
      </w:r>
    </w:p>
    <w:p>
      <w:pPr>
        <w:pStyle w:val="BodyText"/>
      </w:pPr>
      <w:r>
        <w:t xml:space="preserve">12%</w:t>
      </w:r>
    </w:p>
    <w:p>
      <w:pPr>
        <w:pStyle w:val="BodyText"/>
      </w:pPr>
      <w:r>
        <w:t xml:space="preserve">Customer Acquisition Rate</w:t>
      </w:r>
    </w:p>
    <w:p>
      <w:pPr>
        <w:pStyle w:val="BodyText"/>
      </w:pPr>
      <w:r>
        <w:t xml:space="preserve">47 new clients</w:t>
      </w:r>
    </w:p>
    <w:p>
      <w:pPr>
        <w:pStyle w:val="BodyText"/>
      </w:pPr>
      <w:r>
        <w:t xml:space="preserve">39 new clients</w:t>
      </w:r>
    </w:p>
    <w:p>
      <w:pPr>
        <w:pStyle w:val="BodyText"/>
      </w:pPr>
      <w:r>
        <w:t xml:space="preserve">+20.5%</w:t>
      </w:r>
    </w:p>
    <w:p>
      <w:pPr>
        <w:pStyle w:val="BodyText"/>
      </w:pPr>
      <w:r>
        <w:t xml:space="preserve">+8.2%</w:t>
      </w:r>
    </w:p>
    <w:p>
      <w:pPr>
        <w:pStyle w:val="BodyText"/>
      </w:pPr>
      <w:r>
        <w:t xml:space="preserve">Product Portfolio Penetration</w:t>
      </w:r>
    </w:p>
    <w:p>
      <w:pPr>
        <w:pStyle w:val="BodyText"/>
      </w:pPr>
      <w:r>
        <w:t xml:space="preserve">67% across target segments</w:t>
      </w:r>
    </w:p>
    <w:p>
      <w:pPr>
        <w:pStyle w:val="BodyText"/>
      </w:pPr>
      <w:r>
        <w:t xml:space="preserve">59%</w:t>
      </w:r>
    </w:p>
    <w:p>
      <w:pPr>
        <w:pStyle w:val="BodyText"/>
      </w:pPr>
      <w:r>
        <w:t xml:space="preserve">+8 pts</w:t>
      </w:r>
    </w:p>
    <w:p>
      <w:pPr>
        <w:pStyle w:val="BodyText"/>
      </w:pPr>
      <w:r>
        <w:t xml:space="preserve">+3 pts</w:t>
      </w:r>
    </w:p>
    <w:p>
      <w:pPr>
        <w:pStyle w:val="BodyText"/>
      </w:pPr>
      <w:r>
        <w:t xml:space="preserve">Client Retention Rate</w:t>
      </w:r>
    </w:p>
    <w:p>
      <w:pPr>
        <w:pStyle w:val="BodyText"/>
      </w:pPr>
      <w:r>
        <w:t xml:space="preserve">92%</w:t>
      </w:r>
    </w:p>
    <w:p>
      <w:pPr>
        <w:pStyle w:val="BodyText"/>
      </w:pPr>
      <w:r>
        <w:t xml:space="preserve">88%</w:t>
      </w:r>
    </w:p>
    <w:p>
      <w:pPr>
        <w:pStyle w:val="BodyText"/>
      </w:pPr>
      <w:r>
        <w:t xml:space="preserve">+4 pts</w:t>
      </w:r>
    </w:p>
    <w:p>
      <w:pPr>
        <w:pStyle w:val="BodyText"/>
      </w:pPr>
      <w:r>
        <w:t xml:space="preserve">+2 pts</w:t>
      </w:r>
    </w:p>
    <w:bookmarkEnd w:id="21"/>
    <w:bookmarkStart w:id="25" w:name="Xb6a334186d001ec09402efdc9da46a42012de04"/>
    <w:p>
      <w:pPr>
        <w:pStyle w:val="Heading2"/>
      </w:pPr>
      <w:r>
        <w:t xml:space="preserve">Mason's Strategic Advantage in Australia Melbourne</w:t>
      </w:r>
    </w:p>
    <w:p>
      <w:pPr>
        <w:pStyle w:val="FirstParagraph"/>
      </w:pPr>
      <w:r>
        <w:t xml:space="preserve">The Mason Sales Report identifies three critical factors driving our Melbourne success:</w:t>
      </w:r>
    </w:p>
    <w:bookmarkStart w:id="22" w:name="localized-market-intelligence"/>
    <w:p>
      <w:pPr>
        <w:pStyle w:val="Heading3"/>
      </w:pPr>
      <w:r>
        <w:t xml:space="preserve">Localized Market Intelligence</w:t>
      </w:r>
    </w:p>
    <w:p>
      <w:pPr>
        <w:pStyle w:val="FirstParagraph"/>
      </w:pPr>
      <w:r>
        <w:t xml:space="preserve">Mason's Melbourne team implemented hyper-localized sales strategies based on extensive market research. By analyzing seasonal purchasing patterns unique to Victoria—such as the Q3 surge in commercial real estate transactions and sustainability-driven procurement—we developed targeted solutions for construction firms and hospitality businesses. This deep understanding of Australia Melbourne's economic rhythms allowed Mason to position its premium product suite precisely where demand was strongest, generating a 35% higher conversion rate than national averages.</w:t>
      </w:r>
    </w:p>
    <w:bookmarkEnd w:id="22"/>
    <w:bookmarkStart w:id="23" w:name="cultural-alignment-in-sales-approach"/>
    <w:p>
      <w:pPr>
        <w:pStyle w:val="Heading3"/>
      </w:pPr>
      <w:r>
        <w:t xml:space="preserve">Cultural Alignment in Sales Approach</w:t>
      </w:r>
    </w:p>
    <w:p>
      <w:pPr>
        <w:pStyle w:val="FirstParagraph"/>
      </w:pPr>
      <w:r>
        <w:t xml:space="preserve">Unlike standardized global sales models, the Mason Melbourne team adopted Australia's direct yet relationship-focused business culture. Our representatives attended industry events like the Melbourne Tech Summit and Victoria Chamber of Commerce meetings, building trust through genuine engagement rather than transactional outreach. This cultural adaptation is reflected in our 92% client retention rate—a testament to how Mason respects Australian business etiquette while delivering value.</w:t>
      </w:r>
    </w:p>
    <w:bookmarkEnd w:id="23"/>
    <w:bookmarkStart w:id="24" w:name="X0cc05a17f43891a7d66c2be2e5884257ca74df3"/>
    <w:p>
      <w:pPr>
        <w:pStyle w:val="Heading3"/>
      </w:pPr>
      <w:r>
        <w:t xml:space="preserve">Infrastructure Optimization for Australia Melbourne Logistics</w:t>
      </w:r>
    </w:p>
    <w:p>
      <w:pPr>
        <w:pStyle w:val="FirstParagraph"/>
      </w:pPr>
      <w:r>
        <w:t xml:space="preserve">Investing $1.2M in Melbourne's logistics hub significantly reduced delivery times from 7 to 2 business days across the metro region. Mason implemented a dedicated Victoria distribution center at Tullamarine, directly addressing a key pain point identified in our customer satisfaction surveys. This operational excellence transformed Melbourne into Australia's most efficient market for Mason product delivery, contributing directly to client acquisition growth.</w:t>
      </w:r>
    </w:p>
    <w:bookmarkEnd w:id="24"/>
    <w:bookmarkEnd w:id="25"/>
    <w:bookmarkStart w:id="26" w:name="X863ac0f6b07ddc8b261907d59dc32b09146f1b4"/>
    <w:p>
      <w:pPr>
        <w:pStyle w:val="Heading2"/>
      </w:pPr>
      <w:r>
        <w:t xml:space="preserve">Product Performance Analysis (Australia Melbourne Focus)</w:t>
      </w:r>
    </w:p>
    <w:p>
      <w:pPr>
        <w:pStyle w:val="FirstParagraph"/>
      </w:pPr>
      <w:r>
        <w:t xml:space="preserve">The Mason Sales Report reveals dominant performance across three product lines in Australia Melbourne:</w:t>
      </w:r>
    </w:p>
    <w:p>
      <w:pPr>
        <w:numPr>
          <w:ilvl w:val="0"/>
          <w:numId w:val="1001"/>
        </w:numPr>
        <w:pStyle w:val="Compact"/>
      </w:pPr>
      <w:r>
        <w:rPr>
          <w:bCs/>
          <w:b/>
        </w:rPr>
        <w:t xml:space="preserve">Premium HVAC Systems:</w:t>
      </w:r>
      <w:r>
        <w:t xml:space="preserve"> </w:t>
      </w:r>
      <w:r>
        <w:t xml:space="preserve">48% of total revenue, driven by commercial adoption in new CBD developments like the Metro Tunnel project. Mason's energy-efficient models outperformed competitors in Victoria's strict sustainability regulations.</w:t>
      </w:r>
    </w:p>
    <w:p>
      <w:pPr>
        <w:numPr>
          <w:ilvl w:val="0"/>
          <w:numId w:val="1001"/>
        </w:numPr>
        <w:pStyle w:val="Compact"/>
      </w:pPr>
      <w:r>
        <w:rPr>
          <w:bCs/>
          <w:b/>
        </w:rPr>
        <w:t xml:space="preserve">Sustainable Building Materials:</w:t>
      </w:r>
      <w:r>
        <w:t xml:space="preserve"> </w:t>
      </w:r>
      <w:r>
        <w:t xml:space="preserve">31% of sales growth attributed to Mason's eco-certified products meeting Melbourne's Green Building Council standards. Demand surged after our partnership with the City of Melbourne for public infrastructure projects.</w:t>
      </w:r>
    </w:p>
    <w:p>
      <w:pPr>
        <w:numPr>
          <w:ilvl w:val="0"/>
          <w:numId w:val="1001"/>
        </w:numPr>
        <w:pStyle w:val="Compact"/>
      </w:pPr>
      <w:r>
        <w:rPr>
          <w:bCs/>
          <w:b/>
        </w:rPr>
        <w:t xml:space="preserve">Smart Facility Management Software:</w:t>
      </w:r>
      <w:r>
        <w:t xml:space="preserve"> </w:t>
      </w:r>
      <w:r>
        <w:t xml:space="preserve">21% revenue share, particularly strong in hospitality (70+ hotel chain implementations). The software's real-time energy analytics aligned perfectly with Australia Melbourne businesses' cost-saving priorities.</w:t>
      </w:r>
    </w:p>
    <w:bookmarkEnd w:id="26"/>
    <w:bookmarkStart w:id="27" w:name="challenges-and-strategic-imperatives"/>
    <w:p>
      <w:pPr>
        <w:pStyle w:val="Heading2"/>
      </w:pPr>
      <w:r>
        <w:t xml:space="preserve">Challenges and Strategic Imperatives</w:t>
      </w:r>
    </w:p>
    <w:p>
      <w:pPr>
        <w:pStyle w:val="FirstParagraph"/>
      </w:pPr>
      <w:r>
        <w:t xml:space="preserve">While the Mason Australia Melbourne performance is outstanding, the Sales Report identifies two critical challenges requiring immediate attention:</w:t>
      </w:r>
    </w:p>
    <w:p>
      <w:pPr>
        <w:pStyle w:val="BodyText"/>
      </w:pPr>
      <w:r>
        <w:rPr>
          <w:bCs/>
          <w:b/>
        </w:rPr>
        <w:t xml:space="preserve">Challenge 1:</w:t>
      </w:r>
      <w:r>
        <w:t xml:space="preserve"> </w:t>
      </w:r>
      <w:r>
        <w:t xml:space="preserve">Rising competition from local Australian manufacturers in price-sensitive segments. The Mason Melbourne team must develop a value-based pricing strategy that emphasizes our durability and sustainability credentials over pure cost leadership.</w:t>
      </w:r>
    </w:p>
    <w:p>
      <w:pPr>
        <w:pStyle w:val="BodyText"/>
      </w:pPr>
      <w:r>
        <w:rPr>
          <w:bCs/>
          <w:b/>
        </w:rPr>
        <w:t xml:space="preserve">Challenge 2:</w:t>
      </w:r>
      <w:r>
        <w:t xml:space="preserve"> </w:t>
      </w:r>
      <w:r>
        <w:t xml:space="preserve">Skill shortages in technical sales personnel for high-complexity solutions. Our solution is to launch the "Mason Melbourne Accelerator Program" in Q1 2024, partnering with RMIT University to develop local talent pipelines for Australia's evolving tech landscape.</w:t>
      </w:r>
    </w:p>
    <w:bookmarkEnd w:id="27"/>
    <w:bookmarkStart w:id="28" w:name="conclusion-and-forward-looking-strategy"/>
    <w:p>
      <w:pPr>
        <w:pStyle w:val="Heading2"/>
      </w:pPr>
      <w:r>
        <w:t xml:space="preserve">Conclusion and Forward-Looking Strategy</w:t>
      </w:r>
    </w:p>
    <w:p>
      <w:pPr>
        <w:pStyle w:val="FirstParagraph"/>
      </w:pPr>
      <w:r>
        <w:t xml:space="preserve">The Mason Sales Report for Australia Melbourne confirms our regional strategy is not only viable but generating exceptional returns. This market has become a flagship for Mason's global expansion, demonstrating how cultural intelligence and localized execution create sustainable competitive advantage. As we enter 2024, we recommend doubling down on Melbourne as a model for other Australian regions with these strategic actions:</w:t>
      </w:r>
    </w:p>
    <w:p>
      <w:pPr>
        <w:numPr>
          <w:ilvl w:val="0"/>
          <w:numId w:val="1002"/>
        </w:numPr>
        <w:pStyle w:val="Compact"/>
      </w:pPr>
      <w:r>
        <w:t xml:space="preserve">Establish a permanent Australia Melbourne Innovation Hub to co-develop products with local partners</w:t>
      </w:r>
    </w:p>
    <w:p>
      <w:pPr>
        <w:numPr>
          <w:ilvl w:val="0"/>
          <w:numId w:val="1002"/>
        </w:numPr>
        <w:pStyle w:val="Compact"/>
      </w:pPr>
      <w:r>
        <w:t xml:space="preserve">Expand the Mason Victoria Partners Program to include 5 new major construction firms</w:t>
      </w:r>
    </w:p>
    <w:p>
      <w:pPr>
        <w:numPr>
          <w:ilvl w:val="0"/>
          <w:numId w:val="1002"/>
        </w:numPr>
        <w:pStyle w:val="Compact"/>
      </w:pPr>
      <w:r>
        <w:t xml:space="preserve">Leverage Melbourne's position as Australia's sustainability leader for international marketing campaigns</w:t>
      </w:r>
    </w:p>
    <w:p>
      <w:pPr>
        <w:pStyle w:val="FirstParagraph"/>
      </w:pPr>
      <w:r>
        <w:t xml:space="preserve">In conclusion, this Sales Report affirms that Mason is no longer just a participant in Australia Melbourne—it has become an essential partner in the region's economic ecosystem. Our commitment to understanding the unique pulse of Victoria's business community continues to drive measurable outcomes. The success we've achieved in Melbourne provides an undeniable blueprint for scaling Mason's presence across Australia and beyond, proving that when global strategy meets hyper-local execution, extraordinary results follow.</w:t>
      </w:r>
    </w:p>
    <w:p>
      <w:pPr>
        <w:pStyle w:val="BodyText"/>
      </w:pPr>
      <w:r>
        <w:rPr>
          <w:bCs/>
          <w:b/>
        </w:rPr>
        <w:t xml:space="preserve">Prepared by:</w:t>
      </w:r>
      <w:r>
        <w:t xml:space="preserve"> </w:t>
      </w:r>
      <w:r>
        <w:t xml:space="preserve">Global Sales Analytics Team</w:t>
      </w:r>
      <w:r>
        <w:br/>
      </w:r>
      <w:r>
        <w:rPr>
          <w:bCs/>
          <w:b/>
        </w:rPr>
        <w:t xml:space="preserve">Mason International | Australia Melbourne Office</w:t>
      </w:r>
      <w:r>
        <w:br/>
      </w:r>
      <w:r>
        <w:rPr>
          <w:iCs/>
          <w:i/>
        </w:rPr>
        <w:t xml:space="preserve">"Driving growth through intelligent local execution"</w:t>
      </w:r>
    </w:p>
    <w:p>
      <w:pPr>
        <w:pStyle w:val="BodyText"/>
      </w:pPr>
      <w:r>
        <w:t xml:space="preserve">This Mason Sales Report is confidential and proprietary to Mason International. Distribution requires explicit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 Australia Melbourne</dc:title>
  <dc:creator/>
  <dc:language>en</dc:language>
  <cp:keywords/>
  <dcterms:created xsi:type="dcterms:W3CDTF">2026-07-21T16:27:01Z</dcterms:created>
  <dcterms:modified xsi:type="dcterms:W3CDTF">2026-07-21T16:27:01Z</dcterms:modified>
</cp:coreProperties>
</file>

<file path=docProps/custom.xml><?xml version="1.0" encoding="utf-8"?>
<Properties xmlns="http://schemas.openxmlformats.org/officeDocument/2006/custom-properties" xmlns:vt="http://schemas.openxmlformats.org/officeDocument/2006/docPropsVTypes"/>
</file>