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Performance</w:t>
      </w:r>
    </w:p>
    <w:bookmarkStart w:id="29" w:name="Xa5ac7a7fb62392b30ab066f258b6c06ca301395"/>
    <w:p>
      <w:pPr>
        <w:pStyle w:val="Heading1"/>
      </w:pPr>
      <w:r>
        <w:t xml:space="preserve">Comprehensive Sales Report: Mason's Market Performance in Brazil (Brasília Region)</w:t>
      </w:r>
    </w:p>
    <w:bookmarkStart w:id="20" w:name="executive-summary"/>
    <w:p>
      <w:pPr>
        <w:pStyle w:val="Heading2"/>
      </w:pPr>
      <w:r>
        <w:t xml:space="preserve">Executive Summary</w:t>
      </w:r>
    </w:p>
    <w:p>
      <w:pPr>
        <w:pStyle w:val="FirstParagraph"/>
      </w:pPr>
      <w:r>
        <w:t xml:space="preserve">This report details Mason's sales performance across the Brazilian market with specific focus on Brasília, the nation's capital and strategic economic hub. As of Q3 2023, Mason has achieved remarkable growth in Brasília, contributing 37% to our total Brazil revenue. The region has emerged as a critical growth engine for our South American operations, demonstrating exceptional adoption rates for Mason's premium industrial solutions. This document outlines key performance indicators, market dynamics, and strategic recommendations to sustain momentum in this pivotal territory.</w:t>
      </w:r>
    </w:p>
    <w:bookmarkEnd w:id="20"/>
    <w:bookmarkStart w:id="22" w:name="performance-overview-mason-in-brasília"/>
    <w:p>
      <w:pPr>
        <w:pStyle w:val="Heading2"/>
      </w:pPr>
      <w:r>
        <w:t xml:space="preserve">Performance Overview: Mason in Brasília</w:t>
      </w:r>
    </w:p>
    <w:p>
      <w:pPr>
        <w:pStyle w:val="FirstParagraph"/>
      </w:pPr>
      <w:r>
        <w:t xml:space="preserve">Brasília's significance within Brazil cannot be overstated – as the political and administrative heart of the country, it represents a concentration of government entities, multinational corporations, and high-value commercial opportunities. Mason has strategically prioritized this region since establishing our Brazilian headquarters here in 2019. The results speak volumes: sales have grown by 42% year-over-year in Brasília compared to Brazil's national average of 18%, with Q3 revenue reaching R$87 million (approximately $16.5 million USD). This outperformance is attributed to Mason's tailored enterprise solutions for federal institutions and infrastructure projects unique to the capital region.</w:t>
      </w:r>
    </w:p>
    <w:bookmarkStart w:id="21" w:name="X82e5a64afb8c7675b75d967bf11d9e7a64f06f7"/>
    <w:p>
      <w:pPr>
        <w:pStyle w:val="Heading3"/>
      </w:pPr>
      <w:r>
        <w:t xml:space="preserve">Key Sales Metrics: Brasília vs. National Average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Brasília (Q3 2023)</w:t>
            </w:r>
          </w:p>
        </w:tc>
        <w:tc>
          <w:tcPr/>
          <w:p>
            <w:pPr>
              <w:pStyle w:val="Compact"/>
              <w:jc w:val="left"/>
            </w:pPr>
            <w:r>
              <w:t xml:space="preserve">Brazil National (Q3 2023)</w:t>
            </w:r>
          </w:p>
        </w:tc>
      </w:tr>
      <w:tr>
        <w:tc>
          <w:tcPr/>
          <w:p>
            <w:pPr>
              <w:pStyle w:val="Compact"/>
              <w:jc w:val="left"/>
            </w:pPr>
            <w:r>
              <w:t xml:space="preserve">Total Revenue</w:t>
            </w:r>
          </w:p>
        </w:tc>
        <w:tc>
          <w:tcPr/>
          <w:p>
            <w:pPr>
              <w:pStyle w:val="Compact"/>
              <w:jc w:val="left"/>
            </w:pPr>
            <w:r>
              <w:t xml:space="preserve">R$87.0M</w:t>
            </w:r>
          </w:p>
        </w:tc>
        <w:tc>
          <w:tcPr/>
          <w:p>
            <w:pPr>
              <w:pStyle w:val="Compact"/>
              <w:jc w:val="left"/>
            </w:pPr>
            <w:r>
              <w:t xml:space="preserve">R$145.0M</w:t>
            </w:r>
          </w:p>
        </w:tc>
      </w:tr>
      <w:tr>
        <w:tc>
          <w:tcPr/>
          <w:p>
            <w:pPr>
              <w:pStyle w:val="Compact"/>
              <w:jc w:val="left"/>
            </w:pPr>
            <w:r>
              <w:t xml:space="preserve">YoY Growth</w:t>
            </w:r>
          </w:p>
        </w:tc>
        <w:tc>
          <w:tcPr/>
          <w:p>
            <w:pPr>
              <w:pStyle w:val="Compact"/>
              <w:jc w:val="left"/>
            </w:pPr>
            <w:r>
              <w:t xml:space="preserve">+42%</w:t>
            </w:r>
          </w:p>
        </w:tc>
        <w:tc>
          <w:tcPr/>
          <w:p>
            <w:pPr>
              <w:pStyle w:val="Compact"/>
              <w:jc w:val="left"/>
            </w:pPr>
            <w:r>
              <w:t xml:space="preserve">+18%</w:t>
            </w:r>
          </w:p>
        </w:tc>
      </w:tr>
      <w:tr>
        <w:tc>
          <w:tcPr/>
          <w:p>
            <w:pPr>
              <w:pStyle w:val="Compact"/>
              <w:jc w:val="left"/>
            </w:pPr>
            <w:r>
              <w:t xml:space="preserve">Market Share (Industrial Solutions)</w:t>
            </w:r>
          </w:p>
        </w:tc>
        <w:tc>
          <w:tcPr/>
          <w:p>
            <w:pPr>
              <w:pStyle w:val="Compact"/>
              <w:jc w:val="left"/>
            </w:pPr>
            <w:r>
              <w:t xml:space="preserve">29%</w:t>
            </w:r>
          </w:p>
        </w:tc>
        <w:tc>
          <w:tcPr/>
          <w:p>
            <w:pPr>
              <w:pStyle w:val="Compact"/>
              <w:jc w:val="left"/>
            </w:pPr>
            <w:r>
              <w:t xml:space="preserve">15.7%</w:t>
            </w:r>
          </w:p>
        </w:tc>
      </w:tr>
      <w:tr>
        <w:tc>
          <w:tcPr/>
          <w:p>
            <w:pPr>
              <w:pStyle w:val="Compact"/>
              <w:jc w:val="left"/>
            </w:pPr>
            <w:r>
              <w:t xml:space="preserve">New Client Acquisition</w:t>
            </w:r>
          </w:p>
        </w:tc>
        <w:tc>
          <w:tcPr/>
          <w:p>
            <w:pPr>
              <w:pStyle w:val="Compact"/>
              <w:jc w:val="left"/>
            </w:pPr>
            <w:r>
              <w:t xml:space="preserve">67</w:t>
            </w:r>
          </w:p>
        </w:tc>
        <w:tc>
          <w:tcPr/>
          <w:p>
            <w:pPr>
              <w:pStyle w:val="Compact"/>
              <w:jc w:val="left"/>
            </w:pPr>
            <w:r>
              <w:t xml:space="preserve">34</w:t>
            </w:r>
          </w:p>
        </w:tc>
      </w:tr>
    </w:tbl>
    <w:bookmarkEnd w:id="21"/>
    <w:bookmarkEnd w:id="22"/>
    <w:bookmarkStart w:id="23" w:name="X9bc9ebe591980828b5471013ded829621d66278"/>
    <w:p>
      <w:pPr>
        <w:pStyle w:val="Heading2"/>
      </w:pPr>
      <w:r>
        <w:t xml:space="preserve">Brazil Brasília: Strategic Market Analysis</w:t>
      </w:r>
    </w:p>
    <w:p>
      <w:pPr>
        <w:pStyle w:val="FirstParagraph"/>
      </w:pPr>
      <w:r>
        <w:t xml:space="preserve">The success in Brasília stems from Mason's deep understanding of the capital's unique ecosystem. Unlike other Brazilian markets, Brasília operates within a specialized environment where government procurement cycles drive 78% of enterprise sales. Mason has built dedicated teams focused exclusively on federal contracting processes, including specialized compliance units that navigate Brazil's complex public tender regulations (licitações). This localized approach has been instrumental in winning three major infrastructure projects: the</w:t>
      </w:r>
      <w:r>
        <w:t xml:space="preserve"> </w:t>
      </w:r>
      <w:r>
        <w:rPr>
          <w:iCs/>
          <w:i/>
        </w:rPr>
        <w:t xml:space="preserve">Brasília Metro Modernization</w:t>
      </w:r>
      <w:r>
        <w:t xml:space="preserve">,</w:t>
      </w:r>
      <w:r>
        <w:t xml:space="preserve"> </w:t>
      </w:r>
      <w:r>
        <w:rPr>
          <w:iCs/>
          <w:i/>
        </w:rPr>
        <w:t xml:space="preserve">National Archive Digitalization</w:t>
      </w:r>
      <w:r>
        <w:t xml:space="preserve">, and</w:t>
      </w:r>
      <w:r>
        <w:t xml:space="preserve"> </w:t>
      </w:r>
      <w:r>
        <w:rPr>
          <w:iCs/>
          <w:i/>
        </w:rPr>
        <w:t xml:space="preserve">Ministry of Defense Cloud Infrastructure</w:t>
      </w:r>
      <w:r>
        <w:t xml:space="preserve">.</w:t>
      </w:r>
    </w:p>
    <w:p>
      <w:pPr>
        <w:pStyle w:val="BodyText"/>
      </w:pPr>
      <w:r>
        <w:t xml:space="preserve">A critical factor differentiating Mason's Brasília performance is our partnership strategy. We've established 12 certified local partnerships with Brasília-based engineering firms (e.g., TECNOSISTEMAS, INGENIA) who handle technical implementation while Mason provides the core technology. This model has reduced project delivery timelines by 33% and increased client satisfaction scores to 94%, far exceeding the regional average of 82%. Notably, these partnerships now generate 61% of our Brasília sales – a testament to our investment in local ecosystem development.</w:t>
      </w:r>
    </w:p>
    <w:bookmarkEnd w:id="23"/>
    <w:bookmarkStart w:id="24" w:name="product-performance-breakdown"/>
    <w:p>
      <w:pPr>
        <w:pStyle w:val="Heading2"/>
      </w:pPr>
      <w:r>
        <w:t xml:space="preserve">Product Performance Breakdown</w:t>
      </w:r>
    </w:p>
    <w:p>
      <w:pPr>
        <w:pStyle w:val="FirstParagraph"/>
      </w:pPr>
      <w:r>
        <w:t xml:space="preserve">Mason's flagship products have demonstrated varying success in Brasília:</w:t>
      </w:r>
    </w:p>
    <w:p>
      <w:pPr>
        <w:numPr>
          <w:ilvl w:val="0"/>
          <w:numId w:val="1001"/>
        </w:numPr>
        <w:pStyle w:val="Compact"/>
      </w:pPr>
      <w:r>
        <w:rPr>
          <w:bCs/>
          <w:b/>
        </w:rPr>
        <w:t xml:space="preserve">Industrial IoT Platform (Mason Connect)</w:t>
      </w:r>
      <w:r>
        <w:t xml:space="preserve">: 58% of total revenue, driven by government smart-city initiatives. Key clients include Brasília's Traffic Management Center and Federal Police Forensic Units.</w:t>
      </w:r>
    </w:p>
    <w:p>
      <w:pPr>
        <w:numPr>
          <w:ilvl w:val="0"/>
          <w:numId w:val="1001"/>
        </w:numPr>
        <w:pStyle w:val="Compact"/>
      </w:pPr>
      <w:r>
        <w:rPr>
          <w:bCs/>
          <w:b/>
        </w:rPr>
        <w:t xml:space="preserve">Enterprise Data Analytics Suite</w:t>
      </w:r>
      <w:r>
        <w:t xml:space="preserve">: 29% growth in Q3, with adoption accelerating among federal ministries seeking compliance with Brazil's new General Data Protection Law (LGPD).</w:t>
      </w:r>
    </w:p>
    <w:p>
      <w:pPr>
        <w:numPr>
          <w:ilvl w:val="0"/>
          <w:numId w:val="1001"/>
        </w:numPr>
        <w:pStyle w:val="Compact"/>
      </w:pPr>
      <w:r>
        <w:rPr>
          <w:bCs/>
          <w:b/>
        </w:rPr>
        <w:t xml:space="preserve">AI-Powered Infrastructure Monitoring</w:t>
      </w:r>
      <w:r>
        <w:t xml:space="preserve">: 120% YoY growth, fueled by Brasília's urgent need for predictive maintenance in aging public infrastructure.</w:t>
      </w:r>
    </w:p>
    <w:bookmarkEnd w:id="24"/>
    <w:bookmarkStart w:id="25" w:name="brasília-specific-challenges-solutions"/>
    <w:p>
      <w:pPr>
        <w:pStyle w:val="Heading2"/>
      </w:pPr>
      <w:r>
        <w:t xml:space="preserve">Brasília-Specific Challenges &amp; Solutions</w:t>
      </w:r>
    </w:p>
    <w:p>
      <w:pPr>
        <w:pStyle w:val="FirstParagraph"/>
      </w:pPr>
      <w:r>
        <w:t xml:space="preserve">While performance is strong, we face region-specific hurdles. The most significant challenge is navigating Brazil's federal procurement landscape, where bureaucratic delays can extend project timelines by 4-6 months. Mason addressed this through:</w:t>
      </w:r>
    </w:p>
    <w:p>
      <w:pPr>
        <w:numPr>
          <w:ilvl w:val="0"/>
          <w:numId w:val="1002"/>
        </w:numPr>
        <w:pStyle w:val="Compact"/>
      </w:pPr>
      <w:r>
        <w:rPr>
          <w:bCs/>
          <w:b/>
        </w:rPr>
        <w:t xml:space="preserve">Government Relations Task Force</w:t>
      </w:r>
      <w:r>
        <w:t xml:space="preserve">: Dedicated team of former Brazilian ministry officials providing real-time insight into tender cycles.</w:t>
      </w:r>
    </w:p>
    <w:p>
      <w:pPr>
        <w:numPr>
          <w:ilvl w:val="0"/>
          <w:numId w:val="1002"/>
        </w:numPr>
        <w:pStyle w:val="Compact"/>
      </w:pPr>
      <w:r>
        <w:rPr>
          <w:bCs/>
          <w:b/>
        </w:rPr>
        <w:t xml:space="preserve">Brasília Innovation Hub</w:t>
      </w:r>
      <w:r>
        <w:t xml:space="preserve">: Co-location of sales, technical, and compliance staff at our Brasília office to accelerate decision-making (reducing approval times by 52%).</w:t>
      </w:r>
    </w:p>
    <w:p>
      <w:pPr>
        <w:numPr>
          <w:ilvl w:val="0"/>
          <w:numId w:val="1002"/>
        </w:numPr>
        <w:pStyle w:val="Compact"/>
      </w:pPr>
      <w:r>
        <w:rPr>
          <w:bCs/>
          <w:b/>
        </w:rPr>
        <w:t xml:space="preserve">Localized Compliance Frameworks</w:t>
      </w:r>
      <w:r>
        <w:t xml:space="preserve">: Customized documentation packages meeting all specific federal procurement requirements.</w:t>
      </w:r>
    </w:p>
    <w:bookmarkEnd w:id="25"/>
    <w:bookmarkStart w:id="26" w:name="X88a298f49c02c80251f938c6895fd7c3cd4cbee"/>
    <w:p>
      <w:pPr>
        <w:pStyle w:val="Heading2"/>
      </w:pPr>
      <w:r>
        <w:t xml:space="preserve">Growth Opportunities in Brazil's Capital City</w:t>
      </w:r>
    </w:p>
    <w:p>
      <w:pPr>
        <w:pStyle w:val="FirstParagraph"/>
      </w:pPr>
      <w:r>
        <w:t xml:space="preserve">Brasília presents three high-potential growth vectors for Mason:</w:t>
      </w:r>
    </w:p>
    <w:p>
      <w:pPr>
        <w:numPr>
          <w:ilvl w:val="0"/>
          <w:numId w:val="1003"/>
        </w:numPr>
        <w:pStyle w:val="Compact"/>
      </w:pPr>
      <w:r>
        <w:rPr>
          <w:bCs/>
          <w:b/>
        </w:rPr>
        <w:t xml:space="preserve">Green Infrastructure Expansion</w:t>
      </w:r>
      <w:r>
        <w:t xml:space="preserve">: With Brazil's commitment to 100% renewable energy by 2050, Mason's energy optimization solutions are being actively sought by the Brasília Energy Secretariat.</w:t>
      </w:r>
    </w:p>
    <w:p>
      <w:pPr>
        <w:numPr>
          <w:ilvl w:val="0"/>
          <w:numId w:val="1003"/>
        </w:numPr>
        <w:pStyle w:val="Compact"/>
      </w:pPr>
      <w:r>
        <w:rPr>
          <w:bCs/>
          <w:b/>
        </w:rPr>
        <w:t xml:space="preserve">Healthcare Digitization</w:t>
      </w:r>
      <w:r>
        <w:t xml:space="preserve">: The Federal Health Ministry is launching a national digital health platform, creating $42M in potential contracts for Mason's secure data management systems.</w:t>
      </w:r>
    </w:p>
    <w:p>
      <w:pPr>
        <w:numPr>
          <w:ilvl w:val="0"/>
          <w:numId w:val="1003"/>
        </w:numPr>
        <w:pStyle w:val="Compact"/>
      </w:pPr>
      <w:r>
        <w:rPr>
          <w:bCs/>
          <w:b/>
        </w:rPr>
        <w:t xml:space="preserve">Tech Talent Partnership</w:t>
      </w:r>
      <w:r>
        <w:t xml:space="preserve">: Collaborating with Brasília University to develop specialized training programs for federal employees – an initiative projected to generate 200+ new enterprise clients within 18 months.</w:t>
      </w:r>
    </w:p>
    <w:bookmarkEnd w:id="26"/>
    <w:bookmarkStart w:id="27" w:name="X44c7e1c4fa86176e3fdc2e307dd61ccede40e85"/>
    <w:p>
      <w:pPr>
        <w:pStyle w:val="Heading2"/>
      </w:pPr>
      <w:r>
        <w:t xml:space="preserve">Strategic Recommendations for Mason Brazil</w:t>
      </w:r>
    </w:p>
    <w:p>
      <w:pPr>
        <w:pStyle w:val="FirstParagraph"/>
      </w:pPr>
      <w:r>
        <w:t xml:space="preserve">To capitalize on Brasília's potential, we propose:</w:t>
      </w:r>
    </w:p>
    <w:p>
      <w:pPr>
        <w:numPr>
          <w:ilvl w:val="0"/>
          <w:numId w:val="1004"/>
        </w:numPr>
        <w:pStyle w:val="Compact"/>
      </w:pPr>
      <w:r>
        <w:rPr>
          <w:bCs/>
          <w:b/>
        </w:rPr>
        <w:t xml:space="preserve">Double Down on Federal Partnerships</w:t>
      </w:r>
      <w:r>
        <w:t xml:space="preserve">: Allocate 30% of 2024 R&amp;D budget to develop solutions specifically for federal procurement frameworks.</w:t>
      </w:r>
    </w:p>
    <w:p>
      <w:pPr>
        <w:numPr>
          <w:ilvl w:val="0"/>
          <w:numId w:val="1004"/>
        </w:numPr>
        <w:pStyle w:val="Compact"/>
      </w:pPr>
      <w:r>
        <w:rPr>
          <w:bCs/>
          <w:b/>
        </w:rPr>
        <w:t xml:space="preserve">Establish Brasília as Regional HQ</w:t>
      </w:r>
      <w:r>
        <w:t xml:space="preserve">: Elevate the Brasília office to global leadership for all South American government contracts, creating a center of excellence.</w:t>
      </w:r>
    </w:p>
    <w:p>
      <w:pPr>
        <w:numPr>
          <w:ilvl w:val="0"/>
          <w:numId w:val="1004"/>
        </w:numPr>
        <w:pStyle w:val="Compact"/>
      </w:pPr>
      <w:r>
        <w:rPr>
          <w:bCs/>
          <w:b/>
        </w:rPr>
        <w:t xml:space="preserve">Launch "Brasília Innovation Challenge"</w:t>
      </w:r>
      <w:r>
        <w:t xml:space="preserve">: Annual competition inviting local tech startups to co-develop solutions for federal challenges – driving ecosystem growth while identifying new partnerships.</w:t>
      </w:r>
    </w:p>
    <w:bookmarkEnd w:id="27"/>
    <w:bookmarkStart w:id="28" w:name="conclusion"/>
    <w:p>
      <w:pPr>
        <w:pStyle w:val="Heading2"/>
      </w:pPr>
      <w:r>
        <w:t xml:space="preserve">Conclusion</w:t>
      </w:r>
    </w:p>
    <w:p>
      <w:pPr>
        <w:pStyle w:val="FirstParagraph"/>
      </w:pPr>
      <w:r>
        <w:t xml:space="preserve">Mason's success in Brazil Brasília exemplifies how hyper-localized strategy can yield exceptional returns in complex markets. The region has not only exceeded sales targets but has become a blueprint for our global operations, demonstrating that deep cultural and regulatory understanding directly translates to revenue growth. As Brazil continues its economic development trajectory with Brasília at the forefront, Mason is positioned for sustained leadership through our community-focused approach. We project 50%+ revenue growth in Brasília by 2025, representing a significant portion of Mason's global expansion strategy. This Sales Report underscores that in Brazil's capital city, where policy meets opportunity, Mason has built not just a sales channel – but a strategic national asset.</w:t>
      </w:r>
    </w:p>
    <w:p>
      <w:pPr>
        <w:pStyle w:val="BodyText"/>
      </w:pPr>
      <w:r>
        <w:rPr>
          <w:bCs/>
          <w:b/>
        </w:rPr>
        <w:t xml:space="preserve">Prepared By: Global Sales Intelligence Division | Mason Corporation</w:t>
      </w:r>
      <w:r>
        <w:br/>
      </w:r>
      <w:r>
        <w:rPr>
          <w:iCs/>
          <w:i/>
        </w:rPr>
        <w:t xml:space="preserve">Date: October 26, 2023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Brazil Brasília Performance</dc:title>
  <dc:creator/>
  <dc:language>en</dc:language>
  <cp:keywords/>
  <dcterms:created xsi:type="dcterms:W3CDTF">2026-07-23T19:19:41Z</dcterms:created>
  <dcterms:modified xsi:type="dcterms:W3CDTF">2026-07-23T19:19:41Z</dcterms:modified>
</cp:coreProperties>
</file>

<file path=docProps/custom.xml><?xml version="1.0" encoding="utf-8"?>
<Properties xmlns="http://schemas.openxmlformats.org/officeDocument/2006/custom-properties" xmlns:vt="http://schemas.openxmlformats.org/officeDocument/2006/docPropsVTypes"/>
</file>