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Mason</w:t>
      </w:r>
      <w:r>
        <w:t xml:space="preserve"> </w:t>
      </w:r>
      <w:r>
        <w:t xml:space="preserve">&amp;</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5a5305473cc27aabe45406f3f23125c98437ac5"/>
    <w:p>
      <w:pPr>
        <w:pStyle w:val="Heading1"/>
      </w:pPr>
      <w:r>
        <w:t xml:space="preserve">Comprehensive Sales Report: Mason's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Mason Corporation</w:t>
      </w:r>
      <w:r>
        <w:br/>
      </w:r>
      <w:r>
        <w:rPr>
          <w:bCs/>
          <w:b/>
        </w:rPr>
        <w:t xml:space="preserve">Reporting Period:</w:t>
      </w:r>
      <w:r>
        <w:t xml:space="preserve"> </w:t>
      </w:r>
      <w:r>
        <w:t xml:space="preserve">July 1 - September 30, 2023</w:t>
      </w:r>
      <w:r>
        <w:br/>
      </w:r>
      <w:r>
        <w:rPr>
          <w:bCs/>
          <w:b/>
        </w:rPr>
        <w:t xml:space="preserve">Region Covered:</w:t>
      </w:r>
      <w:r>
        <w:t xml:space="preserve"> </w:t>
      </w:r>
      <w:r>
        <w:t xml:space="preserve">Canada Toronto Metropolitan Area</w:t>
      </w:r>
    </w:p>
    <w:bookmarkStart w:id="20" w:name="i.-executive-summary"/>
    <w:p>
      <w:pPr>
        <w:pStyle w:val="Heading2"/>
      </w:pPr>
      <w:r>
        <w:t xml:space="preserve">I. Executive Summary</w:t>
      </w:r>
    </w:p>
    <w:p>
      <w:pPr>
        <w:pStyle w:val="FirstParagraph"/>
      </w:pPr>
      <w:r>
        <w:t xml:space="preserve">This Sales Report provides an in-depth analysis of Mason Corporation's performance within the competitive Canadian marketplace, with specific focus on the Toronto metropolitan region. The quarter demonstrated significant growth for Mason, achieving a 18.7% year-over-year increase in revenue across all product lines within Canada Toronto. This success underscores Mason's strategic positioning as a market leader in high-value consumer solutions tailored to urban Canadian demographics. Notably, our Toronto operations contributed 34% of Mason's total Canadian revenue – the highest regional contribution this year – affirming Canada Toronto as our most critical growth engine in North America.</w:t>
      </w:r>
    </w:p>
    <w:bookmarkEnd w:id="20"/>
    <w:bookmarkStart w:id="21" w:name="Xe63ae32fdcf2bc2b1bde38ecbfc74370be0bb1b"/>
    <w:p>
      <w:pPr>
        <w:pStyle w:val="Heading2"/>
      </w:pPr>
      <w:r>
        <w:t xml:space="preserve">II. Market Context: Canada Toronto Dynamics</w:t>
      </w:r>
    </w:p>
    <w:p>
      <w:pPr>
        <w:pStyle w:val="FirstParagraph"/>
      </w:pPr>
      <w:r>
        <w:t xml:space="preserve">The Canada Toronto market represents a $47.8 billion consumer goods sector, with urban centers driving 63% of national sales volume. Mason has strategically focused on this ecosystem for three years, recognizing Toronto's unique blend of cultural diversity (over 190 ethnicities), high disposable income levels ($65,200 average household income), and digital adoption rates exceeding 89%. This report details how Mason's localized strategies directly capitalized on these Toronto-specific market characteristics. Our Canada Toronto presence operates from a dedicated 12,500 sq. ft. fulfillment center in Etobicoke – the largest regional hub for Mason in all of North America – ensuring same-day delivery capability across 62% of Greater Toronto households.</w:t>
      </w:r>
    </w:p>
    <w:bookmarkEnd w:id="21"/>
    <w:bookmarkStart w:id="22" w:name="iii.-masons-q3-performance-metrics"/>
    <w:p>
      <w:pPr>
        <w:pStyle w:val="Heading2"/>
      </w:pPr>
      <w:r>
        <w:t xml:space="preserve">III. Mason's Q3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(Canada Toronto)</w:t>
            </w:r>
          </w:p>
        </w:tc>
        <w:tc>
          <w:tcPr/>
          <w:p>
            <w:pPr>
              <w:pStyle w:val="Compact"/>
              <w:jc w:val="left"/>
            </w:pPr>
            <w:r>
              <w:t xml:space="preserve">$18.4M</w:t>
            </w:r>
          </w:p>
        </w:tc>
        <w:tc>
          <w:tcPr/>
          <w:p>
            <w:pPr>
              <w:pStyle w:val="Compact"/>
              <w:jc w:val="left"/>
            </w:pPr>
            <w:r>
              <w:t xml:space="preserve">$15.5M</w:t>
            </w:r>
          </w:p>
        </w:tc>
        <w:tc>
          <w:tcPr/>
          <w:p>
            <w:pPr>
              <w:pStyle w:val="Compact"/>
              <w:jc w:val="left"/>
            </w:pPr>
            <w:r>
              <w:t xml:space="preserve">+18.7%</w:t>
            </w:r>
          </w:p>
        </w:tc>
      </w:tr>
      <w:tr>
        <w:tc>
          <w:tcPr/>
          <w:p>
            <w:pPr>
              <w:pStyle w:val="Compact"/>
              <w:jc w:val="left"/>
            </w:pPr>
            <w:r>
              <w:t xml:space="preserve">Unit Sales Volume</w:t>
            </w:r>
          </w:p>
        </w:tc>
        <w:tc>
          <w:tcPr/>
          <w:p>
            <w:pPr>
              <w:pStyle w:val="Compact"/>
              <w:jc w:val="left"/>
            </w:pPr>
            <w:r>
              <w:t xml:space="preserve">286,000 units</w:t>
            </w:r>
          </w:p>
        </w:tc>
        <w:tc>
          <w:tcPr/>
          <w:p>
            <w:pPr>
              <w:pStyle w:val="Compact"/>
              <w:jc w:val="left"/>
            </w:pPr>
            <w:r>
              <w:t xml:space="preserve">239,000 units</w:t>
            </w:r>
          </w:p>
        </w:tc>
        <w:tc>
          <w:tcPr/>
          <w:p>
            <w:pPr>
              <w:pStyle w:val="Compact"/>
              <w:jc w:val="left"/>
            </w:pPr>
            <w:r>
              <w:t xml:space="preserve">+19.7%</w:t>
            </w:r>
          </w:p>
        </w:tc>
      </w:tr>
      <w:tr>
        <w:tc>
          <w:tcPr/>
          <w:p>
            <w:pPr>
              <w:pStyle w:val="Compact"/>
              <w:jc w:val="left"/>
            </w:pPr>
            <w:r>
              <w:t xml:space="preserve">Average Order Value (AOV)</w:t>
            </w:r>
          </w:p>
        </w:tc>
        <w:tc>
          <w:tcPr/>
          <w:p>
            <w:pPr>
              <w:pStyle w:val="Compact"/>
              <w:jc w:val="left"/>
            </w:pPr>
            <w:r>
              <w:t xml:space="preserve">$64.35</w:t>
            </w:r>
          </w:p>
        </w:tc>
        <w:tc>
          <w:tcPr/>
          <w:p>
            <w:pPr>
              <w:pStyle w:val="Compact"/>
              <w:jc w:val="left"/>
            </w:pPr>
            <w:r>
              <w:t xml:space="preserve">$61.20</w:t>
            </w:r>
          </w:p>
        </w:tc>
        <w:tc>
          <w:tcPr/>
          <w:p>
            <w:pPr>
              <w:pStyle w:val="Compact"/>
              <w:jc w:val="left"/>
            </w:pPr>
            <w:r>
              <w:t xml:space="preserve">+5.1%</w:t>
            </w:r>
          </w:p>
        </w:tc>
      </w:tr>
      <w:tr>
        <w:tc>
          <w:tcPr/>
          <w:p>
            <w:pPr>
              <w:pStyle w:val="Compact"/>
              <w:jc w:val="left"/>
            </w:pPr>
            <w:r>
              <w:t xml:space="preserve">Customer Acquisition Cost (CAC)</w:t>
            </w:r>
          </w:p>
        </w:tc>
        <w:tc>
          <w:tcPr/>
          <w:p>
            <w:pPr>
              <w:pStyle w:val="Compact"/>
              <w:jc w:val="left"/>
            </w:pPr>
            <w:r>
              <w:t xml:space="preserve">$28.70</w:t>
            </w:r>
          </w:p>
        </w:tc>
        <w:tc>
          <w:tcPr/>
          <w:p>
            <w:pPr>
              <w:pStyle w:val="Compact"/>
              <w:jc w:val="left"/>
            </w:pPr>
            <w:r>
              <w:t xml:space="preserve">$34.50</w:t>
            </w:r>
          </w:p>
        </w:tc>
        <w:tc>
          <w:tcPr/>
          <w:p>
            <w:pPr>
              <w:pStyle w:val="Compact"/>
              <w:jc w:val="left"/>
            </w:pPr>
            <w:r>
              <w:t xml:space="preserve">-16.8%</w:t>
            </w:r>
          </w:p>
        </w:tc>
      </w:tr>
    </w:tbl>
    <w:p>
      <w:pPr>
        <w:pStyle w:val="BodyText"/>
      </w:pPr>
      <w:r>
        <w:t xml:space="preserve">Mason achieved remarkable efficiency gains in Canada Toronto operations, reducing CAC by 16.8% while simultaneously increasing unit volume by nearly 20%. This was driven by our new "Toronto Urban Experience" initiative – a localized marketing strategy developed exclusively for Mason's Canada Toronto customer base. The initiative integrated cultural insights from our Toronto-based market research team (37% of which are ethically diverse) into product bundles and digital campaigns, resulting in a 41% higher conversion rate among multicultural segments compared to national averages.</w:t>
      </w:r>
    </w:p>
    <w:bookmarkEnd w:id="22"/>
    <w:bookmarkStart w:id="26" w:name="X6b2715047c0ac69bc144d99368cde3e9c5156e0"/>
    <w:p>
      <w:pPr>
        <w:pStyle w:val="Heading2"/>
      </w:pPr>
      <w:r>
        <w:t xml:space="preserve">IV. Strategic Initiatives Driving Mason's Success</w:t>
      </w:r>
    </w:p>
    <w:bookmarkStart w:id="23" w:name="a.-hyper-local-product-adaptation"/>
    <w:p>
      <w:pPr>
        <w:pStyle w:val="Heading3"/>
      </w:pPr>
      <w:r>
        <w:t xml:space="preserve">A. Hyper-Local Product Adaptation</w:t>
      </w:r>
    </w:p>
    <w:p>
      <w:pPr>
        <w:pStyle w:val="FirstParagraph"/>
      </w:pPr>
      <w:r>
        <w:t xml:space="preserve">Mason's Canada Toronto team developed two flagship product lines specifically for local preferences: the "City Commuter Collection" (featuring compact, eco-friendly packaging) and "Cultural Heritage Kits" celebrating Toronto's immigrant communities. These initiatives directly responded to survey data showing 76% of Toronto consumers prioritize culturally resonant products. The Cultural Heritage Kits alone generated $2.1M in sales – a 300% increase from initial projections.</w:t>
      </w:r>
    </w:p>
    <w:bookmarkEnd w:id="23"/>
    <w:bookmarkStart w:id="24" w:name="b.-digital-first-customer-engagement"/>
    <w:p>
      <w:pPr>
        <w:pStyle w:val="Heading3"/>
      </w:pPr>
      <w:r>
        <w:t xml:space="preserve">B. Digital-First Customer Engagement</w:t>
      </w:r>
    </w:p>
    <w:p>
      <w:pPr>
        <w:pStyle w:val="FirstParagraph"/>
      </w:pPr>
      <w:r>
        <w:t xml:space="preserve">Our Canada Toronto digital strategy focused on optimizing mobile experiences for the region's high smartphone penetration (94%). Mason implemented AI-powered chatbots trained on Toronto-specific queries (e.g., "where can I get vegan options in downtown?") and integrated with local transit apps. This initiative reduced customer service response time by 72% and increased repeat purchases by 28% among mobile users.</w:t>
      </w:r>
    </w:p>
    <w:bookmarkEnd w:id="24"/>
    <w:bookmarkStart w:id="25" w:name="c.-community-partnership-ecosystem"/>
    <w:p>
      <w:pPr>
        <w:pStyle w:val="Heading3"/>
      </w:pPr>
      <w:r>
        <w:t xml:space="preserve">C. Community Partnership Ecosystem</w:t>
      </w:r>
    </w:p>
    <w:p>
      <w:pPr>
        <w:pStyle w:val="FirstParagraph"/>
      </w:pPr>
      <w:r>
        <w:t xml:space="preserve">Mason forged key partnerships within Canada Toronto's community infrastructure: a $500K investment in the "Toronto Food Justice Network" (supporting 12 food banks across the city) and co-hosting quarterly "Urban Innovation Forums" with Ryerson University. These initiatives strengthened Mason's brand alignment with Toronto values, driving a 35% lift in positive social sentiment within our Canada Toronto market.</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performance, Mason faced three key challenges in Canada Toronto during Q3:</w:t>
      </w:r>
    </w:p>
    <w:p>
      <w:pPr>
        <w:numPr>
          <w:ilvl w:val="0"/>
          <w:numId w:val="1001"/>
        </w:numPr>
        <w:pStyle w:val="Compact"/>
      </w:pPr>
      <w:r>
        <w:rPr>
          <w:bCs/>
          <w:b/>
        </w:rPr>
        <w:t xml:space="preserve">Supply Chain Volatility:</w:t>
      </w:r>
      <w:r>
        <w:t xml:space="preserve"> </w:t>
      </w:r>
      <w:r>
        <w:t xml:space="preserve">Port congestion at the Port of Toronto increased shipping costs by 14%. *Mitigation:* We activated our pre-negotiated inland transportation network with Ontario-based logistics partners, reducing delivery delays by 58% within two weeks.</w:t>
      </w:r>
    </w:p>
    <w:p>
      <w:pPr>
        <w:numPr>
          <w:ilvl w:val="0"/>
          <w:numId w:val="1001"/>
        </w:numPr>
        <w:pStyle w:val="Compact"/>
      </w:pPr>
      <w:r>
        <w:rPr>
          <w:bCs/>
          <w:b/>
        </w:rPr>
        <w:t xml:space="preserve">Talent Retention:</w:t>
      </w:r>
      <w:r>
        <w:t xml:space="preserve"> </w:t>
      </w:r>
      <w:r>
        <w:t xml:space="preserve">Competition for skilled sales personnel in Toronto's tight labor market. *Mitigation:* Launched Mason's "Toronto Talent Accelerator" program offering accelerated promotion tracks and $10K annual professional development stipends – resulting in a 92% retention rate among new hires.</w:t>
      </w:r>
    </w:p>
    <w:p>
      <w:pPr>
        <w:numPr>
          <w:ilvl w:val="0"/>
          <w:numId w:val="1001"/>
        </w:numPr>
        <w:pStyle w:val="Compact"/>
      </w:pPr>
      <w:r>
        <w:rPr>
          <w:bCs/>
          <w:b/>
        </w:rPr>
        <w:t xml:space="preserve">Cultural Misalignment Risk:</w:t>
      </w:r>
      <w:r>
        <w:t xml:space="preserve"> </w:t>
      </w:r>
      <w:r>
        <w:t xml:space="preserve">Initial product launch missed nuances for South Asian Toronto consumers. *Mitigation:* Implemented mandatory cultural competency training for all Canada Toronto sales teams and established a community advisory board with local leaders, correcting issues within 48 hours of feedback.</w:t>
      </w:r>
    </w:p>
    <w:bookmarkEnd w:id="27"/>
    <w:bookmarkStart w:id="28" w:name="Xc6f8b197104476fae5d343788348a1a4145edad"/>
    <w:p>
      <w:pPr>
        <w:pStyle w:val="Heading2"/>
      </w:pPr>
      <w:r>
        <w:t xml:space="preserve">VI. Future Outlook: Mason's Strategic Path in Canada Toronto</w:t>
      </w:r>
    </w:p>
    <w:p>
      <w:pPr>
        <w:pStyle w:val="FirstParagraph"/>
      </w:pPr>
      <w:r>
        <w:t xml:space="preserve">The momentum in our Canada Toronto operations positions Mason for accelerated growth through 2024. Our strategic roadmap includes:</w:t>
      </w:r>
    </w:p>
    <w:p>
      <w:pPr>
        <w:numPr>
          <w:ilvl w:val="0"/>
          <w:numId w:val="1002"/>
        </w:numPr>
        <w:pStyle w:val="Compact"/>
      </w:pPr>
      <w:r>
        <w:t xml:space="preserve">Opening a dedicated research center at the MaRS Discovery District (Toronto's innovation hub) by Q1 2024 to deepen cultural insights</w:t>
      </w:r>
    </w:p>
    <w:p>
      <w:pPr>
        <w:numPr>
          <w:ilvl w:val="0"/>
          <w:numId w:val="1002"/>
        </w:numPr>
        <w:pStyle w:val="Compact"/>
      </w:pPr>
      <w:r>
        <w:t xml:space="preserve">Expanding the "Urban Experience" program to 5 new Toronto neighborhoods with high growth potential</w:t>
      </w:r>
    </w:p>
    <w:p>
      <w:pPr>
        <w:numPr>
          <w:ilvl w:val="0"/>
          <w:numId w:val="1002"/>
        </w:numPr>
        <w:pStyle w:val="Compact"/>
      </w:pPr>
      <w:r>
        <w:t xml:space="preserve">Investing $3.8M in next-gen fulfillment technology at our Etobicoke facility to achieve 99.7% on-time delivery</w:t>
      </w:r>
    </w:p>
    <w:p>
      <w:pPr>
        <w:pStyle w:val="FirstParagraph"/>
      </w:pPr>
      <w:r>
        <w:t xml:space="preserve">Crucially, Mason's success in Canada Toronto is not merely about sales volume – it represents a model for how global brands can authentically engage with complex urban markets. This Sales Report confirms that when strategy aligns with local reality (as demonstrated by Mason's Toronto operations), sustainable growth becomes the natural outcome. The Canada Toronto market has proven to be both our most profitable and most strategically valuable region, setting the standard for all future Mason expansion initiatives globally.</w:t>
      </w:r>
    </w:p>
    <w:bookmarkEnd w:id="28"/>
    <w:bookmarkStart w:id="29" w:name="vii.-conclusion"/>
    <w:p>
      <w:pPr>
        <w:pStyle w:val="Heading2"/>
      </w:pPr>
      <w:r>
        <w:t xml:space="preserve">VII. Conclusion</w:t>
      </w:r>
    </w:p>
    <w:p>
      <w:pPr>
        <w:pStyle w:val="FirstParagraph"/>
      </w:pPr>
      <w:r>
        <w:t xml:space="preserve">Mason Corporation's Q3 2023 performance in Canada Toronto exemplifies how hyper-localized execution drives exceptional results in complex markets. With an 18.7% revenue increase, industry-leading customer engagement metrics, and deep community integration, Mason has solidified its position as Toronto's most valued consumer solutions provider. This Sales Report demonstrates that success in the Canadian marketplace – particularly within Toronto's dynamic environment – requires more than standardization; it demands cultural intelligence and adaptive strategy.</w:t>
      </w:r>
    </w:p>
    <w:p>
      <w:pPr>
        <w:pStyle w:val="BodyText"/>
      </w:pPr>
      <w:r>
        <w:t xml:space="preserve">As we move into 2024, Mason will continue to leverage the Canada Toronto playbook across all new markets, ensuring our brand grows not just through scale, but through genuine understanding of local communities. The data is clear: When Mason invests in Toronto's unique ecosystem – from its diverse neighborhoods to its innovative spirit – the results are transformative for both customers and our business. This Sales Report stands as testament to how Mason's localized approach has become the gold standard for urban market success in Canada.</w:t>
      </w:r>
    </w:p>
    <w:p>
      <w:pPr>
        <w:pStyle w:val="BodyText"/>
      </w:pPr>
      <w:r>
        <w:rPr>
          <w:bCs/>
          <w:b/>
        </w:rPr>
        <w:t xml:space="preserve">Prepared by:</w:t>
      </w:r>
      <w:r>
        <w:t xml:space="preserve"> </w:t>
      </w:r>
      <w:r>
        <w:t xml:space="preserve">Global Sales Analytics Division, Mason Corporation</w:t>
      </w:r>
      <w:r>
        <w:br/>
      </w:r>
      <w:r>
        <w:rPr>
          <w:bCs/>
          <w:b/>
        </w:rPr>
        <w:t xml:space="preserve">Confidentiality Notice:</w:t>
      </w:r>
      <w:r>
        <w:t xml:space="preserve"> </w:t>
      </w:r>
      <w:r>
        <w:t xml:space="preserve">This document contains proprietary information of Mason Corporation.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Mason &amp; Canada Toronto Market Analysis</dc:title>
  <dc:creator/>
  <dc:language>en</dc:language>
  <cp:keywords/>
  <dcterms:created xsi:type="dcterms:W3CDTF">2025-12-13T02:09:49Z</dcterms:created>
  <dcterms:modified xsi:type="dcterms:W3CDTF">2025-12-13T02:09:49Z</dcterms:modified>
</cp:coreProperties>
</file>

<file path=docProps/custom.xml><?xml version="1.0" encoding="utf-8"?>
<Properties xmlns="http://schemas.openxmlformats.org/officeDocument/2006/custom-properties" xmlns:vt="http://schemas.openxmlformats.org/officeDocument/2006/docPropsVTypes"/>
</file>