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China</w:t>
      </w:r>
      <w:r>
        <w:t xml:space="preserve"> </w:t>
      </w:r>
      <w:r>
        <w:t xml:space="preserve">Beijing</w:t>
      </w:r>
      <w:r>
        <w:t xml:space="preserve"> </w:t>
      </w:r>
      <w:r>
        <w:t xml:space="preserve">Performance</w:t>
      </w:r>
      <w:r>
        <w:t xml:space="preserve"> </w:t>
      </w:r>
      <w:r>
        <w:t xml:space="preserve">Summary</w:t>
      </w:r>
    </w:p>
    <w:bookmarkStart w:id="27" w:name="X28a8ea67c67cabbaeb907ac0d0555d6ed49b8f9"/>
    <w:p>
      <w:pPr>
        <w:pStyle w:val="Heading1"/>
      </w:pPr>
      <w:r>
        <w:t xml:space="preserve">Q3 2024 Sales Report: Mason's Strategic Advancement in China Beijing Market</w:t>
      </w:r>
    </w:p>
    <w:bookmarkStart w:id="20" w:name="executive-summary"/>
    <w:p>
      <w:pPr>
        <w:pStyle w:val="Heading2"/>
      </w:pPr>
      <w:r>
        <w:t xml:space="preserve">Executive Summary</w:t>
      </w:r>
    </w:p>
    <w:p>
      <w:pPr>
        <w:pStyle w:val="FirstParagraph"/>
      </w:pPr>
      <w:r>
        <w:t xml:space="preserve">This comprehensive sales report details Mason's performance and strategic initiatives within the critical China Beijing market during Q3 2024. As a global leader in innovative enterprise solutions, Mason has achieved remarkable growth trajectory in the Beijing region, solidifying its position as a trusted technology partner for Fortune 500 enterprises and local government entities. The quarter concluded with a 37% year-over-year revenue surge specifically attributed to our Beijing operations, demonstrating the effectiveness of our localized market entry strategy. This report outlines key achievements, challenges navigated, and future roadmap for Mason in China Beijing.</w:t>
      </w:r>
    </w:p>
    <w:bookmarkEnd w:id="20"/>
    <w:bookmarkStart w:id="21" w:name="beijing-market-performance-highlights"/>
    <w:p>
      <w:pPr>
        <w:pStyle w:val="Heading2"/>
      </w:pPr>
      <w:r>
        <w:t xml:space="preserve">Beijing Market Performance Highlights</w:t>
      </w:r>
    </w:p>
    <w:p>
      <w:pPr>
        <w:pStyle w:val="FirstParagraph"/>
      </w:pPr>
      <w:r>
        <w:t xml:space="preserve">The China Beijing market remains a cornerstone of Mason's Asia-Pacific expansion strategy. Q3 witnessed unprecedented demand for our AI-driven workflow optimization suite within Beijing's high-tech industrial parks (notably Haidian District and Zhongguancun Science City). Mason secured five major enterprise contracts, including a landmark deal with Beijing Daxing International Airport Authority to implement predictive maintenance systems across 12 terminal facilities. This contract alone contributed $4.2M to quarterly revenue, representing 32% of total China Beijing sales volume.</w:t>
      </w:r>
    </w:p>
    <w:p>
      <w:pPr>
        <w:pStyle w:val="BodyText"/>
      </w:pPr>
      <w:r>
        <w:t xml:space="preserve">Our sales pipeline in China Beijing now exceeds $18.7M, a 55% increase from Q2, driven by enhanced localization of product features tailored to Chinese regulatory frameworks (GB/T standards) and cultural business practices. The Mason Beijing Sales Unit, led by Regional Director Li Wei (a native Mandarin speaker with 12 years of China market expertise), achieved an industry-leading 89% customer retention rate among existing enterprise clients in the capital city.</w:t>
      </w:r>
    </w:p>
    <w:bookmarkEnd w:id="21"/>
    <w:bookmarkStart w:id="22" w:name="X37710db1e47ff446e532ebfeaf3eeaffea1c970"/>
    <w:p>
      <w:pPr>
        <w:pStyle w:val="Heading2"/>
      </w:pPr>
      <w:r>
        <w:t xml:space="preserve">Strategic Initiatives Driving Mason's Success in Beijing</w:t>
      </w:r>
    </w:p>
    <w:p>
      <w:pPr>
        <w:pStyle w:val="FirstParagraph"/>
      </w:pPr>
      <w:r>
        <w:t xml:space="preserve">Mason's success in China Beijing stems from three core strategic pillars:</w:t>
      </w:r>
    </w:p>
    <w:p>
      <w:pPr>
        <w:numPr>
          <w:ilvl w:val="0"/>
          <w:numId w:val="1001"/>
        </w:numPr>
        <w:pStyle w:val="Compact"/>
      </w:pPr>
      <w:r>
        <w:rPr>
          <w:bCs/>
          <w:b/>
        </w:rPr>
        <w:t xml:space="preserve">Cultural &amp; Technical Localization:</w:t>
      </w:r>
      <w:r>
        <w:t xml:space="preserve"> </w:t>
      </w:r>
      <w:r>
        <w:t xml:space="preserve">We established a dedicated Beijing-based R&amp;D team that adapted our core platform to integrate seamlessly with local systems (including WeChat Enterprise, Alibaba Cloud, and China Unicom’s 5G infrastructure). This reduced implementation time by 40% versus previous global deployments.</w:t>
      </w:r>
    </w:p>
    <w:p>
      <w:pPr>
        <w:numPr>
          <w:ilvl w:val="0"/>
          <w:numId w:val="1001"/>
        </w:numPr>
        <w:pStyle w:val="Compact"/>
      </w:pPr>
      <w:r>
        <w:rPr>
          <w:bCs/>
          <w:b/>
        </w:rPr>
        <w:t xml:space="preserve">Government Partnership Ecosystem:</w:t>
      </w:r>
      <w:r>
        <w:t xml:space="preserve"> </w:t>
      </w:r>
      <w:r>
        <w:t xml:space="preserve">Mason forged formal partnerships with Beijing Municipal Science and Technology Commission and the Zhongguancun Development Group, positioning us as an approved vendor for smart city initiatives. This access facilitated entry into municipal procurement channels previously inaccessible to foreign firms.</w:t>
      </w:r>
    </w:p>
    <w:p>
      <w:pPr>
        <w:numPr>
          <w:ilvl w:val="0"/>
          <w:numId w:val="1001"/>
        </w:numPr>
        <w:pStyle w:val="Compact"/>
      </w:pPr>
      <w:r>
        <w:rPr>
          <w:bCs/>
          <w:b/>
        </w:rPr>
        <w:t xml:space="preserve">Talent Acquisition &amp; Development:</w:t>
      </w:r>
      <w:r>
        <w:t xml:space="preserve"> </w:t>
      </w:r>
      <w:r>
        <w:t xml:space="preserve">The Mason Beijing office now employs 68 local professionals (87% Beijing natives), including 12 senior solution architects certified in China's cybersecurity regulations. This locally embedded team accelerated client trust and service delivery speed.</w:t>
      </w:r>
    </w:p>
    <w:bookmarkEnd w:id="22"/>
    <w:bookmarkStart w:id="23" w:name="X2de1669063d584f7bd1c49cd1d4634919cfa8d9"/>
    <w:p>
      <w:pPr>
        <w:pStyle w:val="Heading2"/>
      </w:pPr>
      <w:r>
        <w:t xml:space="preserve">Market Analysis: Why Beijing is Mason's Critical Growth Engine</w:t>
      </w:r>
    </w:p>
    <w:p>
      <w:pPr>
        <w:pStyle w:val="FirstParagraph"/>
      </w:pPr>
      <w:r>
        <w:t xml:space="preserve">Beijing’s unique market dynamics position it as Mason’s most valuable Asian market. The city concentrates 38% of China's Fortune 500 headquarters, drives 26% of national R&amp;D investment, and hosts the country’s largest concentration of high-growth tech startups. Mason capitalized on Beijing's "Digital Innovation Hub" initiative by aligning our product roadmap with the city's 2025 Smart City Goals. This strategic alignment resulted in our AI platform being selected as a pilot solution for Beijing's new integrated transportation command center.</w:t>
      </w:r>
    </w:p>
    <w:p>
      <w:pPr>
        <w:pStyle w:val="BodyText"/>
      </w:pPr>
      <w:r>
        <w:t xml:space="preserve">Competitive analysis reveals that Mason outperformed global rivals (notably SAP and Salesforce) in Beijing due to superior Chinese-language UI/UX, compliance with the Personal Information Protection Law (PIPL), and faster onboarding times. Our sales team executed 142 client site visits across Beijing districts during Q3 – a 65% increase from Q2 – directly addressing client needs within the city's complex business landscape.</w:t>
      </w:r>
    </w:p>
    <w:bookmarkEnd w:id="23"/>
    <w:bookmarkStart w:id="24" w:name="challenges-mitigation-strategies"/>
    <w:p>
      <w:pPr>
        <w:pStyle w:val="Heading2"/>
      </w:pPr>
      <w:r>
        <w:t xml:space="preserve">Challenges &amp; Mitigation Strategies</w:t>
      </w:r>
    </w:p>
    <w:p>
      <w:pPr>
        <w:pStyle w:val="FirstParagraph"/>
      </w:pPr>
      <w:r>
        <w:t xml:space="preserve">Operating in China Beijing presented unique challenges, primarily around regulatory navigation and cultural nuance. Early-stage implementation faced delays due to evolving data sovereignty requirements under Chinese law. Mason's Beijing Legal Team proactively engaged with the Cyberspace Administration of China (CAC) to secure necessary certifications ahead of contract sign-offs, turning a potential obstacle into a trust-building opportunity.</w:t>
      </w:r>
    </w:p>
    <w:p>
      <w:pPr>
        <w:pStyle w:val="BodyText"/>
      </w:pPr>
      <w:r>
        <w:t xml:space="preserve">Another challenge was adapting sales cycles to Beijing's relationship-driven business culture ("Guanxi"). Mason implemented mandatory cultural training for all international sales personnel, resulting in a 30% reduction in negotiation timelines. The creation of our "Beijing Business Advisory Council" (comprising local industry leaders) also provided critical market insights that shaped our Q4 strategy.</w:t>
      </w:r>
    </w:p>
    <w:bookmarkEnd w:id="24"/>
    <w:bookmarkStart w:id="25" w:name="X8c3ba6a035b668724b28769c4aa3f78cb05a287"/>
    <w:p>
      <w:pPr>
        <w:pStyle w:val="Heading2"/>
      </w:pPr>
      <w:r>
        <w:t xml:space="preserve">Future Roadmap: Mason's Expansion in China Beijing</w:t>
      </w:r>
    </w:p>
    <w:p>
      <w:pPr>
        <w:pStyle w:val="FirstParagraph"/>
      </w:pPr>
      <w:r>
        <w:t xml:space="preserve">Mason's commitment to China Beijing extends beyond quarterly performance. Our 2025 roadmap includes:</w:t>
      </w:r>
    </w:p>
    <w:p>
      <w:pPr>
        <w:numPr>
          <w:ilvl w:val="0"/>
          <w:numId w:val="1002"/>
        </w:numPr>
        <w:pStyle w:val="Compact"/>
      </w:pPr>
      <w:r>
        <w:t xml:space="preserve">Establishing a dedicated Beijing Innovation Center focused on developing solutions for the city’s carbon neutrality goals.</w:t>
      </w:r>
    </w:p>
    <w:p>
      <w:pPr>
        <w:numPr>
          <w:ilvl w:val="0"/>
          <w:numId w:val="1002"/>
        </w:numPr>
        <w:pStyle w:val="Compact"/>
      </w:pPr>
      <w:r>
        <w:t xml:space="preserve">Expanding our government partnership portfolio to include 3 new municipal entities through the Beijing Innovation Fund program.</w:t>
      </w:r>
    </w:p>
    <w:p>
      <w:pPr>
        <w:numPr>
          <w:ilvl w:val="0"/>
          <w:numId w:val="1002"/>
        </w:numPr>
        <w:pStyle w:val="Compact"/>
      </w:pPr>
      <w:r>
        <w:t xml:space="preserve">Launching Mason's first China-specific product line, "Mason Beijinger," designed exclusively for local enterprise workflows (expected Q2 2025).</w:t>
      </w:r>
    </w:p>
    <w:p>
      <w:pPr>
        <w:pStyle w:val="FirstParagraph"/>
      </w:pPr>
      <w:r>
        <w:t xml:space="preserve">With Beijing's projected $1.8T digital economy by 2026, Mason is positioned to capture a significant share of this growth. The success of our current initiatives has prompted the Mason Global Executive Committee to allocate an additional $7.5M in dedicated investment for China Beijing operations through 2025.</w:t>
      </w:r>
    </w:p>
    <w:bookmarkEnd w:id="25"/>
    <w:bookmarkStart w:id="26" w:name="conclusion"/>
    <w:p>
      <w:pPr>
        <w:pStyle w:val="Heading2"/>
      </w:pPr>
      <w:r>
        <w:t xml:space="preserve">Conclusion</w:t>
      </w:r>
    </w:p>
    <w:p>
      <w:pPr>
        <w:pStyle w:val="FirstParagraph"/>
      </w:pPr>
      <w:r>
        <w:t xml:space="preserve">The Q3 2024 Sales Report confirms Mason's strategic investments in China Beijing have yielded exceptional results. We've moved beyond being a vendor to becoming an integral part of Beijing's digital transformation ecosystem. The combination of cultural intelligence, regulatory expertise, and product localization has established Mason as the preferred enterprise technology partner for leading organizations across the capital city.</w:t>
      </w:r>
    </w:p>
    <w:p>
      <w:pPr>
        <w:pStyle w:val="BodyText"/>
      </w:pPr>
      <w:r>
        <w:t xml:space="preserve">As we move into Q4, Mason Beijing will focus on scaling proven success across adjacent Chinese markets while deepening relationships with our key Beijing clients. This quarter’s achievements lay a robust foundation for Mason to dominate China's enterprise tech landscape – starting with our most critical market: China Beijing. The future of Mason in Asia is being written in Beijing today.</w:t>
      </w:r>
    </w:p>
    <w:p>
      <w:pPr>
        <w:pStyle w:val="BodyText"/>
      </w:pPr>
      <w:r>
        <w:rPr>
          <w:bCs/>
          <w:b/>
        </w:rPr>
        <w:t xml:space="preserve">Mason Global Sales Report | Q3 2024 | Confidential &amp; Proprietary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China Beijing Performance Summary</dc:title>
  <dc:creator/>
  <dc:language>en</dc:language>
  <cp:keywords/>
  <dcterms:created xsi:type="dcterms:W3CDTF">2026-07-20T23:53:59Z</dcterms:created>
  <dcterms:modified xsi:type="dcterms:W3CDTF">2026-07-20T23:53:59Z</dcterms:modified>
</cp:coreProperties>
</file>

<file path=docProps/custom.xml><?xml version="1.0" encoding="utf-8"?>
<Properties xmlns="http://schemas.openxmlformats.org/officeDocument/2006/custom-properties" xmlns:vt="http://schemas.openxmlformats.org/officeDocument/2006/docPropsVTypes"/>
</file>