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1e24e198f294d02e5ade54bfa344895be98384b"/>
    <w:p>
      <w:pPr>
        <w:pStyle w:val="Heading1"/>
      </w:pPr>
      <w:r>
        <w:t xml:space="preserve">Comprehensive Sales Report: Mason's Market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Mason's operational performance across the vibrant Colombian market, with primary focus on Bogotá—the nation's commercial epicenter. As the capital city housing over 7 million residents and serving as Colombia's economic nerve center, Bogotá represents 45% of Mason's total national revenue. Our Q3 results demonstrate robust growth in key segments despite regional market challenges, affirming our strategic investment in this critical market. Mason achieved a 12.7% year-over-year sales increase in Colombia Bogotá, outperforming the national average by 5.3 percentage points.</w:t>
      </w:r>
    </w:p>
    <w:bookmarkEnd w:id="20"/>
    <w:bookmarkStart w:id="21" w:name="Xb765eb93085a3b682beedd7f3f007fe90c30898"/>
    <w:p>
      <w:pPr>
        <w:pStyle w:val="Heading2"/>
      </w:pPr>
      <w:r>
        <w:t xml:space="preserve">Market Context: Mason's Position in Colombia Bogotá</w:t>
      </w:r>
    </w:p>
    <w:p>
      <w:pPr>
        <w:pStyle w:val="FirstParagraph"/>
      </w:pPr>
      <w:r>
        <w:t xml:space="preserve">Mason has strategically positioned itself as a premium lifestyle brand in Colombia since 2018, with Bogotá serving as our flagship city for innovation and market expansion. The capital city's diverse demographic—spanning affluent neighborhoods like Las Vegas and Chapinero to emerging districts such as Fontibón—creates unique opportunities for Mason's product portfolio. Unlike competitors who focus on mass-market penetration, Mason has successfully cultivated an exclusive identity through targeted partnerships with Bogotá's luxury retail hubs (e.g., Parque 93, El Retiro) and cultural initiatives like the "Mason Artisan Series" sponsored at Museo de Arte Moderno.</w:t>
      </w:r>
    </w:p>
    <w:bookmarkEnd w:id="21"/>
    <w:bookmarkStart w:id="22" w:name="X5dd03967059f923a0cb0b55510cb407c0babb58"/>
    <w:p>
      <w:pPr>
        <w:pStyle w:val="Heading2"/>
      </w:pPr>
      <w:r>
        <w:t xml:space="preserve">Q3 2023 Sales Performance: Colombia Bogotá</w:t>
      </w:r>
    </w:p>
    <w:p>
      <w:pPr>
        <w:pStyle w:val="FirstParagraph"/>
      </w:pPr>
      <w:r>
        <w:t xml:space="preserve">Segment</w:t>
      </w:r>
    </w:p>
    <w:p>
      <w:pPr>
        <w:pStyle w:val="BodyText"/>
      </w:pPr>
      <w:r>
        <w:t xml:space="preserve">Q3 2023 Revenue (USD)</w:t>
      </w:r>
    </w:p>
    <w:p>
      <w:pPr>
        <w:pStyle w:val="BodyText"/>
      </w:pPr>
      <w:r>
        <w:t xml:space="preserve">% YoY Change</w:t>
      </w:r>
    </w:p>
    <w:p>
      <w:pPr>
        <w:pStyle w:val="BodyText"/>
      </w:pPr>
      <w:r>
        <w:t xml:space="preserve">Market Share (Bogotá)</w:t>
      </w:r>
    </w:p>
    <w:p>
      <w:pPr>
        <w:pStyle w:val="BodyText"/>
      </w:pPr>
      <w:r>
        <w:t xml:space="preserve">Luxury Apparel</w:t>
      </w:r>
    </w:p>
    <w:p>
      <w:pPr>
        <w:pStyle w:val="BodyText"/>
      </w:pPr>
      <w:r>
        <w:t xml:space="preserve">$1.84M</w:t>
      </w:r>
    </w:p>
    <w:p>
      <w:pPr>
        <w:pStyle w:val="BodyText"/>
      </w:pPr>
      <w:r>
        <w:t xml:space="preserve">+15.2%</w:t>
      </w:r>
    </w:p>
    <w:p>
      <w:pPr>
        <w:pStyle w:val="BodyText"/>
      </w:pPr>
      <w:r>
        <w:t xml:space="preserve">28.6%</w:t>
      </w:r>
    </w:p>
    <w:p>
      <w:pPr>
        <w:pStyle w:val="BodyText"/>
      </w:pPr>
      <w:r>
        <w:t xml:space="preserve">Home &amp; Lifestyle</w:t>
      </w:r>
    </w:p>
    <w:p>
      <w:pPr>
        <w:pStyle w:val="BodyText"/>
      </w:pPr>
      <w:r>
        <w:t xml:space="preserve">$980K</w:t>
      </w:r>
    </w:p>
    <w:p>
      <w:pPr>
        <w:pStyle w:val="BodyText"/>
      </w:pPr>
    </w:p>
    <w:p>
      <w:pPr>
        <w:pStyle w:val="BodyText"/>
      </w:pPr>
      <w:r>
        <w:t xml:space="preserve">+9.7%</w:t>
      </w:r>
    </w:p>
    <w:p>
      <w:pPr>
        <w:pStyle w:val="BodyText"/>
      </w:pPr>
      <w:r>
        <w:t xml:space="preserve">17.3%</w:t>
      </w:r>
    </w:p>
    <w:p>
      <w:pPr>
        <w:pStyle w:val="BodyText"/>
      </w:pPr>
      <w:r>
        <w:t xml:space="preserve">Digital Services</w:t>
      </w:r>
    </w:p>
    <w:p>
      <w:pPr>
        <w:pStyle w:val="BodyText"/>
      </w:pPr>
      <w:r>
        <w:t xml:space="preserve">$420K</w:t>
      </w:r>
    </w:p>
    <w:p>
      <w:pPr>
        <w:pStyle w:val="BodyText"/>
      </w:pPr>
      <w:r>
        <w:t xml:space="preserve">+22.8%</w:t>
      </w:r>
    </w:p>
    <w:p>
      <w:pPr>
        <w:pStyle w:val="BodyText"/>
      </w:pPr>
      <w:r>
        <w:t xml:space="preserve">35.1% (New Segment)</w:t>
      </w:r>
    </w:p>
    <w:p>
      <w:pPr>
        <w:pStyle w:val="BodyText"/>
      </w:pPr>
      <w:r>
        <w:t xml:space="preserve">Total Bogotá Revenue</w:t>
      </w:r>
    </w:p>
    <w:p>
      <w:pPr>
        <w:pStyle w:val="BodyText"/>
      </w:pPr>
      <w:r>
        <w:rPr>
          <w:bCs/>
          <w:b/>
        </w:rPr>
        <w:t xml:space="preserve">$3.24M</w:t>
      </w:r>
    </w:p>
    <w:p>
      <w:pPr>
        <w:pStyle w:val="BodyText"/>
      </w:pPr>
      <w:r>
        <w:rPr>
          <w:bCs/>
          <w:b/>
        </w:rPr>
        <w:t xml:space="preserve">+12.7%</w:t>
      </w:r>
    </w:p>
    <w:p>
      <w:pPr>
        <w:pStyle w:val="BodyText"/>
      </w:pPr>
      <w:r>
        <w:rPr>
          <w:bCs/>
          <w:b/>
        </w:rPr>
        <w:t xml:space="preserve">24.5%</w:t>
      </w:r>
    </w:p>
    <w:p>
      <w:pPr>
        <w:pStyle w:val="BodyText"/>
      </w:pPr>
      <w:r>
        <w:t xml:space="preserve">The digital services surge (particularly Mason's virtual styling platform and Bogotá-exclusive subscription boxes) was the standout performer, driven by our Q3 partnership with Colombia's largest e-commerce platform, Rappi. This segment now represents 13% of total sales in Colombia Bogotá—up from 4% in Q1. Luxury apparel maintained momentum through targeted influencer collaborations with Colombian celebrities like Carolina Miranda (Bogotá-based fashion icon), generating 320K social impressions monthly.</w:t>
      </w:r>
    </w:p>
    <w:bookmarkEnd w:id="22"/>
    <w:bookmarkStart w:id="23" w:name="X1548240e781823af5f1fd221f47f4f1b047baa3"/>
    <w:p>
      <w:pPr>
        <w:pStyle w:val="Heading2"/>
      </w:pPr>
      <w:r>
        <w:t xml:space="preserve">Strategic Insights: Why Bogotá Works for Mason</w:t>
      </w:r>
    </w:p>
    <w:p>
      <w:pPr>
        <w:pStyle w:val="FirstParagraph"/>
      </w:pPr>
      <w:r>
        <w:t xml:space="preserve">Bogotá's distinct market dynamics create a perfect environment for Mason's value proposition. The city boasts:</w:t>
      </w:r>
    </w:p>
    <w:p>
      <w:pPr>
        <w:numPr>
          <w:ilvl w:val="0"/>
          <w:numId w:val="1001"/>
        </w:numPr>
        <w:pStyle w:val="Compact"/>
      </w:pPr>
      <w:r>
        <w:rPr>
          <w:bCs/>
          <w:b/>
        </w:rPr>
        <w:t xml:space="preserve">High Disposable Income:</w:t>
      </w:r>
      <w:r>
        <w:t xml:space="preserve"> </w:t>
      </w:r>
      <w:r>
        <w:t xml:space="preserve">Bogotá has Colombia's highest per capita GDP ($14,200), with 68% of residents in the middle-to-upper income brackets (World Bank, 2023).</w:t>
      </w:r>
    </w:p>
    <w:p>
      <w:pPr>
        <w:numPr>
          <w:ilvl w:val="0"/>
          <w:numId w:val="1001"/>
        </w:numPr>
        <w:pStyle w:val="Compact"/>
      </w:pPr>
      <w:r>
        <w:rPr>
          <w:bCs/>
          <w:b/>
        </w:rPr>
        <w:t xml:space="preserve">Cultural Resonance:</w:t>
      </w:r>
      <w:r>
        <w:t xml:space="preserve"> </w:t>
      </w:r>
      <w:r>
        <w:t xml:space="preserve">Mason's "Crafted for Colombian Souls" campaign—which features local artisans in our production chain—resonated deeply during Bogotá's Festival de la Música, driving a 34% increase in brand affinity scores.</w:t>
      </w:r>
    </w:p>
    <w:p>
      <w:pPr>
        <w:numPr>
          <w:ilvl w:val="0"/>
          <w:numId w:val="1001"/>
        </w:numPr>
        <w:pStyle w:val="Compact"/>
      </w:pPr>
      <w:r>
        <w:rPr>
          <w:bCs/>
          <w:b/>
        </w:rPr>
        <w:t xml:space="preserve">Logistical Advantage:</w:t>
      </w:r>
      <w:r>
        <w:t xml:space="preserve"> </w:t>
      </w:r>
      <w:r>
        <w:t xml:space="preserve">Our Bogotá warehouse (operating since 2020) enables same-day delivery across the city—critical for premium brands where speed equals luxury. This reduced shipping times by 78% versus competitors.</w:t>
      </w:r>
    </w:p>
    <w:bookmarkEnd w:id="23"/>
    <w:bookmarkStart w:id="24" w:name="challenges-competitive-landscape"/>
    <w:p>
      <w:pPr>
        <w:pStyle w:val="Heading2"/>
      </w:pPr>
      <w:r>
        <w:t xml:space="preserve">Challenges &amp; Competitive Landscape</w:t>
      </w:r>
    </w:p>
    <w:p>
      <w:pPr>
        <w:pStyle w:val="FirstParagraph"/>
      </w:pPr>
      <w:r>
        <w:t xml:space="preserve">Despite strong performance, Colombia Bogotá faces three key challenges:</w:t>
      </w:r>
    </w:p>
    <w:p>
      <w:pPr>
        <w:numPr>
          <w:ilvl w:val="0"/>
          <w:numId w:val="1002"/>
        </w:numPr>
        <w:pStyle w:val="Compact"/>
      </w:pPr>
      <w:r>
        <w:rPr>
          <w:bCs/>
          <w:b/>
        </w:rPr>
        <w:t xml:space="preserve">Currency Volatility:</w:t>
      </w:r>
      <w:r>
        <w:t xml:space="preserve"> </w:t>
      </w:r>
      <w:r>
        <w:t xml:space="preserve">The Colombian peso depreciated 18% against the USD in Q3, squeezing margins. Mason mitigated this through forward contracts covering 65% of Q4 imports.</w:t>
      </w:r>
    </w:p>
    <w:p>
      <w:pPr>
        <w:numPr>
          <w:ilvl w:val="0"/>
          <w:numId w:val="1002"/>
        </w:numPr>
        <w:pStyle w:val="Compact"/>
      </w:pPr>
      <w:r>
        <w:rPr>
          <w:bCs/>
          <w:b/>
        </w:rPr>
        <w:t xml:space="preserve">Local Competition:</w:t>
      </w:r>
      <w:r>
        <w:t xml:space="preserve"> </w:t>
      </w:r>
      <w:r>
        <w:t xml:space="preserve">Brands like Zara Colombia and local luxury label "Puro Bogotá" have launched aggressive pricing strategies targeting Mason's core demographic (25-45yo professionals).</w:t>
      </w:r>
    </w:p>
    <w:p>
      <w:pPr>
        <w:numPr>
          <w:ilvl w:val="0"/>
          <w:numId w:val="1002"/>
        </w:numPr>
        <w:pStyle w:val="Compact"/>
      </w:pPr>
      <w:r>
        <w:rPr>
          <w:bCs/>
          <w:b/>
        </w:rPr>
        <w:t xml:space="preserve">Tax Complexity:</w:t>
      </w:r>
      <w:r>
        <w:t xml:space="preserve"> </w:t>
      </w:r>
      <w:r>
        <w:t xml:space="preserve">Bogotá's municipal tax structure requires monthly compliance filings. Our new automation tool reduced administrative time by 40% in Q3.</w:t>
      </w:r>
    </w:p>
    <w:bookmarkEnd w:id="24"/>
    <w:bookmarkStart w:id="25" w:name="Xc017ad34997feec4897d55c3d43b96941d1c92e"/>
    <w:p>
      <w:pPr>
        <w:pStyle w:val="Heading2"/>
      </w:pPr>
      <w:r>
        <w:t xml:space="preserve">Opportunities for Growth in Colombia Bogotá</w:t>
      </w:r>
    </w:p>
    <w:p>
      <w:pPr>
        <w:pStyle w:val="FirstParagraph"/>
      </w:pPr>
      <w:r>
        <w:t xml:space="preserve">Bogotá's market potential extends beyond current performance. Key opportunities include:</w:t>
      </w:r>
    </w:p>
    <w:p>
      <w:pPr>
        <w:numPr>
          <w:ilvl w:val="0"/>
          <w:numId w:val="1003"/>
        </w:numPr>
        <w:pStyle w:val="Compact"/>
      </w:pPr>
      <w:r>
        <w:rPr>
          <w:bCs/>
          <w:b/>
        </w:rPr>
        <w:t xml:space="preserve">Expanding the Digital Ecosystem:</w:t>
      </w:r>
      <w:r>
        <w:t xml:space="preserve"> </w:t>
      </w:r>
      <w:r>
        <w:t xml:space="preserve">Partnering with Bogotá's 370+ co-working spaces for "Mason Experience Zones" (e.g., Pop-up lounges in WeWork locations) to drive offline conversion from online leads.</w:t>
      </w:r>
    </w:p>
    <w:p>
      <w:pPr>
        <w:numPr>
          <w:ilvl w:val="0"/>
          <w:numId w:val="1003"/>
        </w:numPr>
        <w:pStyle w:val="Compact"/>
      </w:pPr>
      <w:r>
        <w:rPr>
          <w:bCs/>
          <w:b/>
        </w:rPr>
        <w:t xml:space="preserve">Cultural Immersion Programs:</w:t>
      </w:r>
      <w:r>
        <w:t xml:space="preserve"> </w:t>
      </w:r>
      <w:r>
        <w:t xml:space="preserve">Launching the "Mason Bogotá Heritage Tour"—combining product sampling with visits to historic craftsman workshops—to deepen community ties. Pilot results showed 61% of participants became repeat buyers.</w:t>
      </w:r>
    </w:p>
    <w:p>
      <w:pPr>
        <w:numPr>
          <w:ilvl w:val="0"/>
          <w:numId w:val="1003"/>
        </w:numPr>
        <w:pStyle w:val="Compact"/>
      </w:pPr>
      <w:r>
        <w:rPr>
          <w:bCs/>
          <w:b/>
        </w:rPr>
        <w:t xml:space="preserve">Sustainability Premium:</w:t>
      </w:r>
      <w:r>
        <w:t xml:space="preserve"> </w:t>
      </w:r>
      <w:r>
        <w:t xml:space="preserve">73% of Bogotá consumers prioritize eco-friendly brands (Colombia Sustainability Survey, Q2). Mason's new bamboo-fiber collection (produced with Colombian artisans) is already generating $180K in pre-orders.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Double Down on Bogotá-First Innovation:</w:t>
      </w:r>
      <w:r>
        <w:t xml:space="preserve"> </w:t>
      </w:r>
      <w:r>
        <w:t xml:space="preserve">Allocate 30% of Q4 R&amp;D budget to develop products exclusively for Colombia Bogotá (e.g., lightweight fabrics for the city's altitude). This will reinforce market leadership.</w:t>
      </w:r>
    </w:p>
    <w:p>
      <w:pPr>
        <w:numPr>
          <w:ilvl w:val="0"/>
          <w:numId w:val="1004"/>
        </w:numPr>
        <w:pStyle w:val="Compact"/>
      </w:pPr>
      <w:r>
        <w:rPr>
          <w:bCs/>
          <w:b/>
        </w:rPr>
        <w:t xml:space="preserve">Leverage Municipal Partnerships:</w:t>
      </w:r>
      <w:r>
        <w:t xml:space="preserve"> </w:t>
      </w:r>
      <w:r>
        <w:t xml:space="preserve">Collaborate with Bogotá's Mayor's Office on "Bogotá Green Week" to align Mason with the city's sustainability goals, enhancing brand reputation.</w:t>
      </w:r>
    </w:p>
    <w:p>
      <w:pPr>
        <w:numPr>
          <w:ilvl w:val="0"/>
          <w:numId w:val="1004"/>
        </w:numPr>
        <w:pStyle w:val="Compact"/>
      </w:pPr>
      <w:r>
        <w:rPr>
          <w:bCs/>
          <w:b/>
        </w:rPr>
        <w:t xml:space="preserve">Expand Digital Footprint:</w:t>
      </w:r>
      <w:r>
        <w:t xml:space="preserve"> </w:t>
      </w:r>
      <w:r>
        <w:t xml:space="preserve">Launch a dedicated Bogotá app featuring local delivery hotspots and real-time stock visibility—addressing the 28% of customers who abandon carts due to inventory uncertainty.</w:t>
      </w:r>
    </w:p>
    <w:bookmarkEnd w:id="26"/>
    <w:bookmarkStart w:id="27" w:name="X8d9b8878a11ee730b559f55c9fc3be99a025651"/>
    <w:p>
      <w:pPr>
        <w:pStyle w:val="Heading2"/>
      </w:pPr>
      <w:r>
        <w:t xml:space="preserve">Conclusion: Mason's Future in Colombia Bogotá</w:t>
      </w:r>
    </w:p>
    <w:p>
      <w:pPr>
        <w:pStyle w:val="FirstParagraph"/>
      </w:pPr>
      <w:r>
        <w:t xml:space="preserve">The Q3 Sales Report confirms that Colombia Bogotá remains the engine of Mason's Latin American success. Our strategic focus on cultural authenticity, premium localization, and digital innovation has created a sustainable competitive advantage. With the city driving over 45% of our national revenue and demonstrating above-market growth in every segment, Mason must continue to treat Bogotá as its primary innovation lab—not just a market.</w:t>
      </w:r>
    </w:p>
    <w:p>
      <w:pPr>
        <w:pStyle w:val="BodyText"/>
      </w:pPr>
      <w:r>
        <w:t xml:space="preserve">As we navigate Colombia's dynamic economic landscape, Mason's commitment to understanding Bogotá's unique rhythms—where coffee culture meets cutting-edge commerce—will define our next phase of growth. The data is clear: when Mason speaks *to* Bogotá, not *about* it, the results are undeniable. Our target for Q4 is a 15% revenue increase in Colombia Bogotá, with digital services capturing 20% of total sales—solidifying our position as the premier lifestyle brand in this pivotal market.</w:t>
      </w:r>
    </w:p>
    <w:p>
      <w:pPr>
        <w:pStyle w:val="BodyText"/>
      </w:pPr>
      <w:r>
        <w:rPr>
          <w:bCs/>
          <w:b/>
        </w:rPr>
        <w:t xml:space="preserve">Prepared by:</w:t>
      </w:r>
      <w:r>
        <w:t xml:space="preserve"> </w:t>
      </w:r>
      <w:r>
        <w:t xml:space="preserve">Latin America Sales Analytics Team</w:t>
      </w:r>
      <w:r>
        <w:br/>
      </w:r>
      <w:r>
        <w:rPr>
          <w:bCs/>
          <w:b/>
        </w:rPr>
        <w:t xml:space="preserve">Mason Global Headquarters,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Colombia Bogotá</dc:title>
  <dc:creator/>
  <dc:language>en</dc:language>
  <cp:keywords/>
  <dcterms:created xsi:type="dcterms:W3CDTF">2026-06-02T22:19:54Z</dcterms:created>
  <dcterms:modified xsi:type="dcterms:W3CDTF">2026-06-02T22:19:54Z</dcterms:modified>
</cp:coreProperties>
</file>

<file path=docProps/custom.xml><?xml version="1.0" encoding="utf-8"?>
<Properties xmlns="http://schemas.openxmlformats.org/officeDocument/2006/custom-properties" xmlns:vt="http://schemas.openxmlformats.org/officeDocument/2006/docPropsVTypes"/>
</file>