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Mason's</w:t>
      </w:r>
      <w:r>
        <w:t xml:space="preserve"> </w:t>
      </w:r>
      <w:r>
        <w:t xml:space="preserve">Performance</w:t>
      </w:r>
      <w:r>
        <w:t xml:space="preserve"> </w:t>
      </w:r>
      <w:r>
        <w:t xml:space="preserve">in</w:t>
      </w:r>
      <w:r>
        <w:t xml:space="preserve"> </w:t>
      </w:r>
      <w:r>
        <w:t xml:space="preserve">France</w:t>
      </w:r>
      <w:r>
        <w:t xml:space="preserve"> </w:t>
      </w:r>
      <w:r>
        <w:t xml:space="preserve">Lyon</w:t>
      </w:r>
    </w:p>
    <w:bookmarkStart w:id="27" w:name="sales-report-for-mason-in-france-lyon"/>
    <w:p>
      <w:pPr>
        <w:pStyle w:val="Heading1"/>
      </w:pPr>
      <w:r>
        <w:t xml:space="preserve">SALES REPORT FOR MASON IN FRANCE LYON</w:t>
      </w:r>
    </w:p>
    <w:p>
      <w:pPr>
        <w:pStyle w:val="FirstParagraph"/>
      </w:pPr>
      <w:r>
        <w:t xml:space="preserve">This comprehensive</w:t>
      </w:r>
      <w:r>
        <w:t xml:space="preserve"> </w:t>
      </w:r>
      <w:r>
        <w:rPr>
          <w:bCs/>
          <w:b/>
        </w:rPr>
        <w:t xml:space="preserve">Sales Report</w:t>
      </w:r>
      <w:r>
        <w:t xml:space="preserve"> </w:t>
      </w:r>
      <w:r>
        <w:t xml:space="preserve">details the operational performance of Mason, a leading specialty retailer of premium home furnishings and lifestyle products, across the dynamic market landscape of France Lyon. Covering Q1-Q3 2024, this document provides strategic insights into Mason's sales trajectory, competitive positioning, and growth initiatives within one of France's most vibrant commercial hubs.</w:t>
      </w:r>
    </w:p>
    <w:bookmarkStart w:id="20" w:name="executive-summary"/>
    <w:p>
      <w:pPr>
        <w:pStyle w:val="Heading2"/>
      </w:pPr>
      <w:r>
        <w:t xml:space="preserve">Executive Summary</w:t>
      </w:r>
    </w:p>
    <w:p>
      <w:pPr>
        <w:pStyle w:val="FirstParagraph"/>
      </w:pPr>
      <w:r>
        <w:t xml:space="preserve">Mason has achieved remarkable success in the France Lyon market, with quarterly sales growth consistently outperforming regional averages. From January to September 2024, Mason's Lyon operations reported a 34% year-over-year increase in revenue, totaling €8.7 million against a projected €6.5 million target. This exceptional performance positions Mason as the fastest-growing specialty retailer in Lyon's competitive home goods sector, surpassing both national benchmarks and key competitors like</w:t>
      </w:r>
      <w:r>
        <w:t xml:space="preserve"> </w:t>
      </w:r>
      <w:r>
        <w:rPr>
          <w:iCs/>
          <w:i/>
        </w:rPr>
        <w:t xml:space="preserve">La Maison de la Table</w:t>
      </w:r>
      <w:r>
        <w:t xml:space="preserve"> </w:t>
      </w:r>
      <w:r>
        <w:t xml:space="preserve">and</w:t>
      </w:r>
      <w:r>
        <w:t xml:space="preserve"> </w:t>
      </w:r>
      <w:r>
        <w:rPr>
          <w:iCs/>
          <w:i/>
        </w:rPr>
        <w:t xml:space="preserve">Design Élégant</w:t>
      </w:r>
      <w:r>
        <w:t xml:space="preserve">. The report identifies Lyon's unique cultural affinity for artisanal craftsmanship as Mason's primary growth catalyst.</w:t>
      </w:r>
    </w:p>
    <w:bookmarkEnd w:id="20"/>
    <w:bookmarkStart w:id="21" w:name="X6631aa7b9deb972c59a2f152dd6f4973c9a583a"/>
    <w:p>
      <w:pPr>
        <w:pStyle w:val="Heading2"/>
      </w:pPr>
      <w:r>
        <w:t xml:space="preserve">Market Context: Lyon’s Commercial Landscape</w:t>
      </w:r>
    </w:p>
    <w:p>
      <w:pPr>
        <w:pStyle w:val="FirstParagraph"/>
      </w:pPr>
      <w:r>
        <w:t xml:space="preserve">Lyon, France's third-largest metropolitan area and cultural capital of the Auvergne-Rhône-Alpes region, presents a distinctive market environment. With its historic Le Vieux Lyon district attracting 35 million annual visitors and a burgeoning affluent demographic (28% of residents earn &gt;€70k annually), Mason strategically aligned its brand with Lyon's identity as "La Ville des Lumières" – emphasizing light, craftsmanship, and quality of life. This localization strategy was critical for Mason's market penetration: 68% of Lyon customers cite the brand's commitment to French artisanal partnerships as their primary purchase driver, compared to only 32% in other French markets.</w:t>
      </w:r>
    </w:p>
    <w:bookmarkEnd w:id="21"/>
    <w:bookmarkStart w:id="22" w:name="sales-performance-breakdown-q1-q3-2024"/>
    <w:p>
      <w:pPr>
        <w:pStyle w:val="Heading2"/>
      </w:pPr>
      <w:r>
        <w:t xml:space="preserve">Sales Performance Breakdown (Q1-Q3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w:t>
            </w:r>
          </w:p>
        </w:tc>
        <w:tc>
          <w:tcPr/>
          <w:p>
            <w:pPr>
              <w:pStyle w:val="Compact"/>
              <w:jc w:val="left"/>
            </w:pPr>
            <w:r>
              <w:t xml:space="preserve">YoY Growth</w:t>
            </w:r>
          </w:p>
        </w:tc>
        <w:tc>
          <w:tcPr/>
          <w:p>
            <w:pPr>
              <w:pStyle w:val="Compact"/>
              <w:jc w:val="left"/>
            </w:pPr>
            <w:r>
              <w:t xml:space="preserve">Market Share (Lyon)</w:t>
            </w:r>
          </w:p>
        </w:tc>
      </w:tr>
      <w:tr>
        <w:tc>
          <w:tcPr/>
          <w:p>
            <w:pPr>
              <w:pStyle w:val="Compact"/>
              <w:jc w:val="left"/>
            </w:pPr>
            <w:r>
              <w:rPr>
                <w:bCs/>
                <w:b/>
              </w:rPr>
              <w:t xml:space="preserve">Luxury Textiles</w:t>
            </w:r>
          </w:p>
        </w:tc>
        <w:tc>
          <w:tcPr/>
          <w:p>
            <w:pPr>
              <w:pStyle w:val="Compact"/>
              <w:jc w:val="left"/>
            </w:pPr>
            <w:r>
              <w:t xml:space="preserve">€2,150,000</w:t>
            </w:r>
          </w:p>
        </w:tc>
        <w:tc>
          <w:tcPr/>
          <w:p>
            <w:pPr>
              <w:pStyle w:val="Compact"/>
              <w:jc w:val="left"/>
            </w:pPr>
            <w:r>
              <w:t xml:space="preserve">+41%</w:t>
            </w:r>
          </w:p>
        </w:tc>
        <w:tc>
          <w:tcPr/>
          <w:p>
            <w:pPr>
              <w:pStyle w:val="Compact"/>
              <w:jc w:val="left"/>
            </w:pPr>
            <w:r>
              <w:t xml:space="preserve">38.7%</w:t>
            </w:r>
          </w:p>
        </w:tc>
      </w:tr>
      <w:tr>
        <w:tc>
          <w:tcPr/>
          <w:p>
            <w:pPr>
              <w:pStyle w:val="Compact"/>
              <w:jc w:val="left"/>
            </w:pPr>
            <w:r>
              <w:rPr>
                <w:bCs/>
                <w:b/>
              </w:rPr>
              <w:t xml:space="preserve">Artisanal Ceramics</w:t>
            </w:r>
          </w:p>
        </w:tc>
        <w:tc>
          <w:tcPr/>
          <w:p>
            <w:pPr>
              <w:pStyle w:val="Compact"/>
              <w:jc w:val="left"/>
            </w:pPr>
            <w:r>
              <w:t xml:space="preserve">€1,820,000</w:t>
            </w:r>
          </w:p>
        </w:tc>
        <w:tc>
          <w:tcPr/>
          <w:p>
            <w:pPr>
              <w:pStyle w:val="Compact"/>
              <w:jc w:val="left"/>
            </w:pPr>
            <w:r>
              <w:t xml:space="preserve">+52%</w:t>
            </w:r>
          </w:p>
        </w:tc>
        <w:tc>
          <w:tcPr/>
          <w:p>
            <w:pPr>
              <w:pStyle w:val="Compact"/>
              <w:jc w:val="left"/>
            </w:pPr>
            <w:r>
              <w:t xml:space="preserve">43.1%</w:t>
            </w:r>
          </w:p>
        </w:tc>
      </w:tr>
      <w:tr>
        <w:tc>
          <w:tcPr/>
          <w:p>
            <w:pPr>
              <w:pStyle w:val="Compact"/>
              <w:jc w:val="left"/>
            </w:pPr>
            <w:r>
              <w:rPr>
                <w:bCs/>
                <w:b/>
              </w:rPr>
              <w:t xml:space="preserve">Home Fragrance</w:t>
            </w:r>
          </w:p>
        </w:tc>
        <w:tc>
          <w:tcPr/>
          <w:p>
            <w:pPr>
              <w:pStyle w:val="Compact"/>
              <w:jc w:val="left"/>
            </w:pPr>
            <w:r>
              <w:t xml:space="preserve">€1,570,000</w:t>
            </w:r>
          </w:p>
        </w:tc>
        <w:tc>
          <w:tcPr/>
          <w:p>
            <w:pPr>
              <w:pStyle w:val="Compact"/>
              <w:jc w:val="left"/>
            </w:pPr>
            <w:r>
              <w:t xml:space="preserve">+29%</w:t>
            </w:r>
          </w:p>
        </w:tc>
        <w:tc>
          <w:tcPr/>
          <w:p>
            <w:pPr>
              <w:pStyle w:val="Compact"/>
              <w:jc w:val="left"/>
            </w:pPr>
            <w:r>
              <w:t xml:space="preserve">31.4%</w:t>
            </w:r>
          </w:p>
        </w:tc>
      </w:tr>
      <w:tr>
        <w:tc>
          <w:tcPr/>
          <w:p>
            <w:pPr>
              <w:pStyle w:val="Compact"/>
              <w:jc w:val="left"/>
            </w:pPr>
            <w:r>
              <w:rPr>
                <w:bCs/>
                <w:b/>
              </w:rPr>
              <w:t xml:space="preserve">Furniture</w:t>
            </w:r>
          </w:p>
        </w:tc>
        <w:tc>
          <w:tcPr/>
          <w:p>
            <w:pPr>
              <w:pStyle w:val="Compact"/>
              <w:jc w:val="left"/>
            </w:pPr>
            <w:r>
              <w:t xml:space="preserve">€1,450,000</w:t>
            </w:r>
          </w:p>
        </w:tc>
        <w:tc>
          <w:tcPr/>
          <w:p>
            <w:pPr>
              <w:pStyle w:val="Compact"/>
              <w:jc w:val="left"/>
            </w:pPr>
            <w:r>
              <w:t xml:space="preserve">+26%</w:t>
            </w:r>
          </w:p>
        </w:tc>
        <w:tc>
          <w:tcPr/>
          <w:p>
            <w:pPr>
              <w:pStyle w:val="Compact"/>
              <w:jc w:val="left"/>
            </w:pPr>
            <w:r>
              <w:t xml:space="preserve">27.8%</w:t>
            </w:r>
          </w:p>
        </w:tc>
      </w:tr>
    </w:tbl>
    <w:p>
      <w:pPr>
        <w:pStyle w:val="BodyText"/>
      </w:pPr>
      <w:r>
        <w:t xml:space="preserve">Key drivers behind this performance include:</w:t>
      </w:r>
    </w:p>
    <w:p>
      <w:pPr>
        <w:numPr>
          <w:ilvl w:val="0"/>
          <w:numId w:val="1001"/>
        </w:numPr>
        <w:pStyle w:val="Compact"/>
      </w:pPr>
      <w:r>
        <w:rPr>
          <w:bCs/>
          <w:b/>
        </w:rPr>
        <w:t xml:space="preserve">Localized Product Curation:</w:t>
      </w:r>
      <w:r>
        <w:t xml:space="preserve"> </w:t>
      </w:r>
      <w:r>
        <w:t xml:space="preserve">Mason Lyon's team developed a "Lyon Heritage Collection" featuring pottery from Villerest artisans and textiles using traditional Lyon weaving techniques, representing 37% of total sales.</w:t>
      </w:r>
    </w:p>
    <w:p>
      <w:pPr>
        <w:numPr>
          <w:ilvl w:val="0"/>
          <w:numId w:val="1001"/>
        </w:numPr>
        <w:pStyle w:val="Compact"/>
      </w:pPr>
      <w:r>
        <w:rPr>
          <w:bCs/>
          <w:b/>
        </w:rPr>
        <w:t xml:space="preserve">Digital-Physical Integration:</w:t>
      </w:r>
      <w:r>
        <w:t xml:space="preserve"> </w:t>
      </w:r>
      <w:r>
        <w:t xml:space="preserve">62% of Lyon customers engaged via Mason's app for virtual in-store consultations before purchasing at the flagship boutique on Rue du Bœuf.</w:t>
      </w:r>
    </w:p>
    <w:p>
      <w:pPr>
        <w:numPr>
          <w:ilvl w:val="0"/>
          <w:numId w:val="1001"/>
        </w:numPr>
        <w:pStyle w:val="Compact"/>
      </w:pPr>
      <w:r>
        <w:rPr>
          <w:bCs/>
          <w:b/>
        </w:rPr>
        <w:t xml:space="preserve">Strategic Partnerships:</w:t>
      </w:r>
      <w:r>
        <w:t xml:space="preserve"> </w:t>
      </w:r>
      <w:r>
        <w:t xml:space="preserve">Collaborations with Lyon institutions like Musée des Arts Décoratifs and La Maison de la Culture generated 23% of new customers through curated pop-up events.</w:t>
      </w:r>
    </w:p>
    <w:bookmarkEnd w:id="22"/>
    <w:bookmarkStart w:id="23" w:name="competitive-analysis-in-france-lyon"/>
    <w:p>
      <w:pPr>
        <w:pStyle w:val="Heading2"/>
      </w:pPr>
      <w:r>
        <w:t xml:space="preserve">Competitive Analysis in France Lyon</w:t>
      </w:r>
    </w:p>
    <w:p>
      <w:pPr>
        <w:pStyle w:val="FirstParagraph"/>
      </w:pPr>
      <w:r>
        <w:t xml:space="preserve">While Mason dominates the luxury home segment, Lyon presents nuanced competitive dynamics. Traditional retailers like</w:t>
      </w:r>
      <w:r>
        <w:t xml:space="preserve"> </w:t>
      </w:r>
      <w:r>
        <w:rPr>
          <w:iCs/>
          <w:i/>
        </w:rPr>
        <w:t xml:space="preserve">La Maison du Département</w:t>
      </w:r>
      <w:r>
        <w:t xml:space="preserve"> </w:t>
      </w:r>
      <w:r>
        <w:t xml:space="preserve">leverage deep local roots but lack Mason's digital innovation. Emerging startups (e.g.,</w:t>
      </w:r>
      <w:r>
        <w:t xml:space="preserve"> </w:t>
      </w:r>
      <w:r>
        <w:rPr>
          <w:iCs/>
          <w:i/>
        </w:rPr>
        <w:t xml:space="preserve">Lyon Design Lab</w:t>
      </w:r>
      <w:r>
        <w:t xml:space="preserve">) focus on eco-friendly products but struggle with production capacity. Mason's advantage lies in its dual commitment to French heritage and modern retail experience – a balance Lyon consumers actively seek, as evidenced by our 4.8/5 average customer satisfaction rating on local review platforms like</w:t>
      </w:r>
      <w:r>
        <w:t xml:space="preserve"> </w:t>
      </w:r>
      <w:r>
        <w:rPr>
          <w:iCs/>
          <w:i/>
        </w:rPr>
        <w:t xml:space="preserve">Page des Vins</w:t>
      </w:r>
      <w:r>
        <w:t xml:space="preserve">.</w:t>
      </w:r>
    </w:p>
    <w:bookmarkEnd w:id="23"/>
    <w:bookmarkStart w:id="24" w:name="challenges-and-strategic-responses"/>
    <w:p>
      <w:pPr>
        <w:pStyle w:val="Heading2"/>
      </w:pPr>
      <w:r>
        <w:t xml:space="preserve">Challenges and Strategic Responses</w:t>
      </w:r>
    </w:p>
    <w:p>
      <w:pPr>
        <w:pStyle w:val="FirstParagraph"/>
      </w:pPr>
      <w:r>
        <w:t xml:space="preserve">Despite strong performance, Mason Lyon faced three critical challenges:</w:t>
      </w:r>
    </w:p>
    <w:p>
      <w:pPr>
        <w:numPr>
          <w:ilvl w:val="0"/>
          <w:numId w:val="1002"/>
        </w:numPr>
        <w:pStyle w:val="Compact"/>
      </w:pPr>
      <w:r>
        <w:rPr>
          <w:bCs/>
          <w:b/>
        </w:rPr>
        <w:t xml:space="preserve">Supply Chain Fragility:</w:t>
      </w:r>
      <w:r>
        <w:t xml:space="preserve"> </w:t>
      </w:r>
      <w:r>
        <w:t xml:space="preserve">Disruptions in French ceramic supplier networks during Q2 were mitigated through Mason's investment in a dedicated Lyon-based artisan partnership program, ensuring 98% on-time delivery by Q3.</w:t>
      </w:r>
    </w:p>
    <w:p>
      <w:pPr>
        <w:numPr>
          <w:ilvl w:val="0"/>
          <w:numId w:val="1002"/>
        </w:numPr>
        <w:pStyle w:val="Compact"/>
      </w:pPr>
      <w:r>
        <w:rPr>
          <w:bCs/>
          <w:b/>
        </w:rPr>
        <w:t xml:space="preserve">Seasonal Demand Fluctuations:</w:t>
      </w:r>
      <w:r>
        <w:t xml:space="preserve"> </w:t>
      </w:r>
      <w:r>
        <w:t xml:space="preserve">Implementing a "Lyon Summer Collection" campaign targeting the region's tourism peak (July-August) boosted summer sales by 22% versus 2023.</w:t>
      </w:r>
    </w:p>
    <w:p>
      <w:pPr>
        <w:numPr>
          <w:ilvl w:val="0"/>
          <w:numId w:val="1002"/>
        </w:numPr>
        <w:pStyle w:val="Compact"/>
      </w:pPr>
      <w:r>
        <w:rPr>
          <w:bCs/>
          <w:b/>
        </w:rPr>
        <w:t xml:space="preserve">Competitor Price Wars:</w:t>
      </w:r>
      <w:r>
        <w:t xml:space="preserve"> </w:t>
      </w:r>
      <w:r>
        <w:t xml:space="preserve">Mason countered with its "Craftsman Guarantee" – offering free in-home styling consultations and artisan origin storytelling, which increased average transaction value by 18%.</w:t>
      </w:r>
    </w:p>
    <w:bookmarkEnd w:id="24"/>
    <w:bookmarkStart w:id="25" w:name="future-strategy-for-mason-in-france-lyon"/>
    <w:p>
      <w:pPr>
        <w:pStyle w:val="Heading2"/>
      </w:pPr>
      <w:r>
        <w:t xml:space="preserve">Future Strategy for Mason in France Lyon</w:t>
      </w:r>
    </w:p>
    <w:p>
      <w:pPr>
        <w:pStyle w:val="FirstParagraph"/>
      </w:pPr>
      <w:r>
        <w:t xml:space="preserve">Building on Q3 success, Mason Lyon's 2024-2025 roadmap focuses on three pillars:</w:t>
      </w:r>
    </w:p>
    <w:p>
      <w:pPr>
        <w:numPr>
          <w:ilvl w:val="0"/>
          <w:numId w:val="1003"/>
        </w:numPr>
        <w:pStyle w:val="Compact"/>
      </w:pPr>
      <w:r>
        <w:rPr>
          <w:bCs/>
          <w:b/>
        </w:rPr>
        <w:t xml:space="preserve">Hyper-Localization:</w:t>
      </w:r>
      <w:r>
        <w:t xml:space="preserve"> </w:t>
      </w:r>
      <w:r>
        <w:t xml:space="preserve">Launching "Lyon Neighborhood Collections" featuring region-specific products (e.g., Saône River-inspired ceramics, Fourvière Hill textiles) to deepen community integration.</w:t>
      </w:r>
    </w:p>
    <w:p>
      <w:pPr>
        <w:numPr>
          <w:ilvl w:val="0"/>
          <w:numId w:val="1003"/>
        </w:numPr>
        <w:pStyle w:val="Compact"/>
      </w:pPr>
      <w:r>
        <w:rPr>
          <w:bCs/>
          <w:b/>
        </w:rPr>
        <w:t xml:space="preserve">Digital Expansion:</w:t>
      </w:r>
      <w:r>
        <w:t xml:space="preserve"> </w:t>
      </w:r>
      <w:r>
        <w:t xml:space="preserve">Developing a Lyon-exclusive augmented reality app allowing customers to visualize products in their homes using Lyon city landmarks as reference points.</w:t>
      </w:r>
    </w:p>
    <w:p>
      <w:pPr>
        <w:numPr>
          <w:ilvl w:val="0"/>
          <w:numId w:val="1003"/>
        </w:numPr>
        <w:pStyle w:val="Compact"/>
      </w:pPr>
      <w:r>
        <w:rPr>
          <w:bCs/>
          <w:b/>
        </w:rPr>
        <w:t xml:space="preserve">Sustainability Integration:</w:t>
      </w:r>
      <w:r>
        <w:t xml:space="preserve"> </w:t>
      </w:r>
      <w:r>
        <w:t xml:space="preserve">Achieving carbon-neutral logistics for all Lyon operations by Q2 2025, aligning with the region's Green Lyon initiative.</w:t>
      </w:r>
    </w:p>
    <w:p>
      <w:pPr>
        <w:pStyle w:val="FirstParagraph"/>
      </w:pPr>
      <w:r>
        <w:t xml:space="preserve">The France Lyon market represents Mason's most profitable regional operation, contributing 17% of all European revenue. With Lyon's economy projected to grow at 3.2% in 2024 (World Bank), Mason is positioned for sustained leadership through its unwavering commitment to blending French craftsmanship with contemporary retail innovation.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underscores Mason's strategic success in France Lyon – not merely as a commercial outpost, but as a cultural partner embedded within the city's identity. The brand has transcended traditional retail to become synonymous with Lyon's appreciation for quality, heritage, and modern luxury. Mason's Lyon performance demonstrates that deep market understanding combined with authentic local partnerships delivers exceptional results: exceeding targets by 34%, commanding premium pricing (15% above category average), and cultivating a fiercely loyal customer base where 79% of buyers are repeat customers.</w:t>
      </w:r>
    </w:p>
    <w:p>
      <w:pPr>
        <w:pStyle w:val="BodyText"/>
      </w:pPr>
      <w:r>
        <w:t xml:space="preserve">As Mason continues its expansion across France, the Lyon model serves as the gold standard for regional adaptation. The city's blend of historic charm and progressive innovation provides the perfect ecosystem for Mason's values to thrive. With these results, we project Mason Lyon will achieve €12 million in annual revenue by Q4 2025 – cementing its status as a cornerstone of Mason's European success story.</w:t>
      </w:r>
    </w:p>
    <w:p>
      <w:pPr>
        <w:pStyle w:val="BodyText"/>
      </w:pPr>
      <w:r>
        <w:rPr>
          <w:bCs/>
          <w:b/>
        </w:rPr>
        <w:t xml:space="preserve">Prepared for:</w:t>
      </w:r>
      <w:r>
        <w:t xml:space="preserve"> </w:t>
      </w:r>
      <w:r>
        <w:t xml:space="preserve">Mason Executive Board</w:t>
      </w:r>
      <w:r>
        <w:br/>
      </w:r>
      <w:r>
        <w:rPr>
          <w:bCs/>
          <w:b/>
        </w:rPr>
        <w:t xml:space="preserve">Date:</w:t>
      </w:r>
      <w:r>
        <w:t xml:space="preserve"> </w:t>
      </w:r>
      <w:r>
        <w:t xml:space="preserve">October 26, 2024</w:t>
      </w:r>
      <w:r>
        <w:br/>
      </w:r>
      <w:r>
        <w:rPr>
          <w:bCs/>
          <w:b/>
        </w:rPr>
        <w:t xml:space="preserve">Report Version:</w:t>
      </w:r>
      <w:r>
        <w:t xml:space="preserve"> </w:t>
      </w:r>
      <w:r>
        <w:t xml:space="preserve">V3.1 (France Lyon Market Focus)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Mason's Performance in France Lyon</dc:title>
  <dc:creator/>
  <dc:language>en</dc:language>
  <cp:keywords/>
  <dcterms:created xsi:type="dcterms:W3CDTF">2025-12-10T14:13:43Z</dcterms:created>
  <dcterms:modified xsi:type="dcterms:W3CDTF">2025-12-10T14:13:43Z</dcterms:modified>
</cp:coreProperties>
</file>

<file path=docProps/custom.xml><?xml version="1.0" encoding="utf-8"?>
<Properties xmlns="http://schemas.openxmlformats.org/officeDocument/2006/custom-properties" xmlns:vt="http://schemas.openxmlformats.org/officeDocument/2006/docPropsVTypes"/>
</file>