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Mason's</w:t>
      </w:r>
      <w:r>
        <w:t xml:space="preserve"> </w:t>
      </w:r>
      <w:r>
        <w:t xml:space="preserve">Performance</w:t>
      </w:r>
      <w:r>
        <w:t xml:space="preserve"> </w:t>
      </w:r>
      <w:r>
        <w:t xml:space="preserve">in</w:t>
      </w:r>
      <w:r>
        <w:t xml:space="preserve"> </w:t>
      </w:r>
      <w:r>
        <w:t xml:space="preserve">Germany</w:t>
      </w:r>
      <w:r>
        <w:t xml:space="preserve"> </w:t>
      </w:r>
      <w:r>
        <w:t xml:space="preserve">Berlin</w:t>
      </w:r>
    </w:p>
    <w:bookmarkStart w:id="27" w:name="X5e425ef70b766ab2484decbfc4f6b8c95028de1"/>
    <w:p>
      <w:pPr>
        <w:pStyle w:val="Heading1"/>
      </w:pPr>
      <w:r>
        <w:t xml:space="preserve">Sales Report for Mason's Operations in Germany Berlin</w:t>
      </w:r>
    </w:p>
    <w:p>
      <w:pPr>
        <w:pStyle w:val="FirstParagraph"/>
      </w:pPr>
      <w:r>
        <w:t xml:space="preserve">This comprehensive Sales Report details Mason's performance across the critical German market, with specific focus on our strategic hub in Berlin. As a leading global provider of premium sustainable building solutions, Mason has prioritized Germany as a cornerstone market for expansion, and Berlin serves as our operational nerve center for Central European growth. This document presents quarterly sales data, market analysis, and forward-looking strategies tailored to the unique dynamics of</w:t>
      </w:r>
      <w:r>
        <w:t xml:space="preserve"> </w:t>
      </w:r>
      <w:r>
        <w:rPr>
          <w:bCs/>
          <w:b/>
        </w:rPr>
        <w:t xml:space="preserve">Germany Berlin</w:t>
      </w:r>
      <w:r>
        <w:t xml:space="preserve">.</w:t>
      </w:r>
    </w:p>
    <w:bookmarkStart w:id="20" w:name="X37a46d614375ced4f484decc73c7c6f2cdd8463"/>
    <w:p>
      <w:pPr>
        <w:pStyle w:val="Heading2"/>
      </w:pPr>
      <w:r>
        <w:t xml:space="preserve">Executive Summary: Mason's Berlin Market Position (Q1-Q3 2024)</w:t>
      </w:r>
    </w:p>
    <w:p>
      <w:pPr>
        <w:pStyle w:val="FirstParagraph"/>
      </w:pPr>
      <w:r>
        <w:t xml:space="preserve">Mason has achieved remarkable momentum in</w:t>
      </w:r>
      <w:r>
        <w:t xml:space="preserve"> </w:t>
      </w:r>
      <w:r>
        <w:rPr>
          <w:bCs/>
          <w:b/>
        </w:rPr>
        <w:t xml:space="preserve">Germany Berlin</w:t>
      </w:r>
      <w:r>
        <w:t xml:space="preserve">, with sales revenue growing by 37% year-over-year and capturing a 19% market share in sustainable construction materials within the metropolitan area. This performance exceeds our continental growth target by 12 percentage points, positioning Mason as a dominant force in Berlin's green building sector. The success stems from our localized approach to</w:t>
      </w:r>
      <w:r>
        <w:t xml:space="preserve"> </w:t>
      </w:r>
      <w:r>
        <w:rPr>
          <w:bCs/>
          <w:b/>
        </w:rPr>
        <w:t xml:space="preserve">Sales Report</w:t>
      </w:r>
      <w:r>
        <w:t xml:space="preserve"> </w:t>
      </w:r>
      <w:r>
        <w:t xml:space="preserve">strategies that respect German engineering standards and environmental regulations.</w:t>
      </w:r>
    </w:p>
    <w:p>
      <w:pPr>
        <w:pStyle w:val="BodyText"/>
      </w:pPr>
      <w:r>
        <w:rPr>
          <w:bCs/>
          <w:b/>
        </w:rPr>
        <w:t xml:space="preserve">Key Achievement:</w:t>
      </w:r>
      <w:r>
        <w:t xml:space="preserve"> </w:t>
      </w:r>
      <w:r>
        <w:t xml:space="preserve">Mason secured the largest commercial contract in Berlin history with the new "Ecopark District" development, valued at €12.7M, which will utilize our entire product portfolio of recycled steel frames and modular insulation systems.</w:t>
      </w:r>
    </w:p>
    <w:bookmarkEnd w:id="20"/>
    <w:bookmarkStart w:id="21" w:name="X2efdc9494be1bf7f0edb2c64a8cb41344be3339"/>
    <w:p>
      <w:pPr>
        <w:pStyle w:val="Heading2"/>
      </w:pPr>
      <w:r>
        <w:t xml:space="preserve">Market Analysis: Why Berlin Works for Mason</w:t>
      </w:r>
    </w:p>
    <w:p>
      <w:pPr>
        <w:pStyle w:val="FirstParagraph"/>
      </w:pPr>
      <w:r>
        <w:rPr>
          <w:bCs/>
          <w:b/>
        </w:rPr>
        <w:t xml:space="preserve">Germany Berlin</w:t>
      </w:r>
      <w:r>
        <w:t xml:space="preserve"> </w:t>
      </w:r>
      <w:r>
        <w:t xml:space="preserve">represents a unique confluence of factors driving Mason's success. As the political and cultural capital, Berlin attracts international architects and developers seeking cutting-edge sustainable projects. The city's aggressive 2030 climate neutrality target (100% renewable energy for all buildings) has created urgent demand for Mason's carbon-neutral building materials. Our local office—staffed entirely by German-speaking engineers certified in DIN standards—has enabled rapid response to client specifications, a critical differentiator in</w:t>
      </w:r>
      <w:r>
        <w:t xml:space="preserve"> </w:t>
      </w:r>
      <w:r>
        <w:rPr>
          <w:bCs/>
          <w:b/>
        </w:rPr>
        <w:t xml:space="preserve">Germany Berlin</w:t>
      </w:r>
      <w:r>
        <w:t xml:space="preserve">'s highly regulated market.</w:t>
      </w:r>
    </w:p>
    <w:p>
      <w:pPr>
        <w:pStyle w:val="BodyText"/>
      </w:pPr>
      <w:r>
        <w:t xml:space="preserve">Compared to other German cities, Berlin offers two strategic advantages: 1) Lower commercial real estate costs for our production facilities, reducing logistics expenses by 22%, and 2) A concentrated cluster of green architecture firms (including 63% of Germany's top sustainable design studios), creating fertile ground for partnerships. The</w:t>
      </w:r>
      <w:r>
        <w:t xml:space="preserve"> </w:t>
      </w:r>
      <w:r>
        <w:rPr>
          <w:bCs/>
          <w:b/>
        </w:rPr>
        <w:t xml:space="preserve">Sales Report</w:t>
      </w:r>
      <w:r>
        <w:t xml:space="preserve"> </w:t>
      </w:r>
      <w:r>
        <w:t xml:space="preserve">shows that Berlin-based clients have a 41% higher retention rate due to our in-city technical support teams—something competitors cannot replicate with centralized European operations.</w:t>
      </w:r>
    </w:p>
    <w:bookmarkEnd w:id="21"/>
    <w:bookmarkStart w:id="23" w:name="X3370e8a40005d5c2ac3ea9fef4d58d25a1717d5"/>
    <w:p>
      <w:pPr>
        <w:pStyle w:val="Heading2"/>
      </w:pPr>
      <w:r>
        <w:t xml:space="preserve">Sales Performance Breakdown (Berlin, Q1-Q3 2024)</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Line</w:t>
            </w:r>
          </w:p>
        </w:tc>
        <w:tc>
          <w:tcPr/>
          <w:p>
            <w:pPr>
              <w:pStyle w:val="Compact"/>
              <w:jc w:val="left"/>
            </w:pPr>
            <w:r>
              <w:t xml:space="preserve">Revenue (€)</w:t>
            </w:r>
          </w:p>
        </w:tc>
        <w:tc>
          <w:tcPr/>
          <w:p>
            <w:pPr>
              <w:pStyle w:val="Compact"/>
              <w:jc w:val="left"/>
            </w:pPr>
            <w:r>
              <w:t xml:space="preserve">% YoY Growth</w:t>
            </w:r>
          </w:p>
        </w:tc>
        <w:tc>
          <w:tcPr/>
          <w:p>
            <w:pPr>
              <w:pStyle w:val="Compact"/>
              <w:jc w:val="left"/>
            </w:pPr>
            <w:r>
              <w:t xml:space="preserve">Market Share in Berlin</w:t>
            </w:r>
          </w:p>
        </w:tc>
      </w:tr>
      <w:tr>
        <w:tc>
          <w:tcPr/>
          <w:p>
            <w:pPr>
              <w:pStyle w:val="Compact"/>
              <w:jc w:val="left"/>
            </w:pPr>
            <w:r>
              <w:t xml:space="preserve">Sustainable Steel Framing Systems</w:t>
            </w:r>
          </w:p>
        </w:tc>
        <w:tc>
          <w:tcPr/>
          <w:p>
            <w:pPr>
              <w:pStyle w:val="Compact"/>
              <w:jc w:val="left"/>
            </w:pPr>
            <w:r>
              <w:t xml:space="preserve">€5.2M</w:t>
            </w:r>
          </w:p>
        </w:tc>
        <w:tc>
          <w:tcPr/>
          <w:p>
            <w:pPr>
              <w:pStyle w:val="Compact"/>
              <w:jc w:val="left"/>
            </w:pPr>
            <w:r>
              <w:t xml:space="preserve">+44%</w:t>
            </w:r>
          </w:p>
        </w:tc>
        <w:tc>
          <w:tcPr/>
          <w:p>
            <w:pPr>
              <w:pStyle w:val="Compact"/>
              <w:jc w:val="left"/>
            </w:pPr>
            <w:r>
              <w:t xml:space="preserve">27%</w:t>
            </w:r>
          </w:p>
        </w:tc>
      </w:tr>
      <w:tr>
        <w:tc>
          <w:tcPr/>
          <w:p>
            <w:pPr>
              <w:pStyle w:val="Compact"/>
              <w:jc w:val="left"/>
            </w:pPr>
            <w:r>
              <w:t xml:space="preserve">Modular Insulation Solutions</w:t>
            </w:r>
          </w:p>
        </w:tc>
        <w:tc>
          <w:tcPr/>
          <w:p>
            <w:pPr>
              <w:pStyle w:val="Compact"/>
              <w:jc w:val="left"/>
            </w:pPr>
            <w:r>
              <w:t xml:space="preserve">€3.8M</w:t>
            </w:r>
          </w:p>
        </w:tc>
        <w:tc>
          <w:tcPr/>
          <w:p>
            <w:pPr>
              <w:pStyle w:val="Compact"/>
              <w:jc w:val="left"/>
            </w:pPr>
            <w:r>
              <w:t xml:space="preserve">+31%</w:t>
            </w:r>
          </w:p>
        </w:tc>
        <w:tc>
          <w:tcPr/>
          <w:p>
            <w:pPr>
              <w:pStyle w:val="Compact"/>
              <w:jc w:val="left"/>
            </w:pPr>
            <w:r>
              <w:t xml:space="preserve">15%</w:t>
            </w:r>
          </w:p>
        </w:tc>
      </w:tr>
      <w:tr>
        <w:tc>
          <w:tcPr/>
          <w:p>
            <w:pPr>
              <w:pStyle w:val="Compact"/>
              <w:jc w:val="left"/>
            </w:pPr>
            <w:r>
              <w:t xml:space="preserve">Eco-Ceramic Facades</w:t>
            </w:r>
          </w:p>
        </w:tc>
        <w:tc>
          <w:tcPr/>
          <w:p>
            <w:pPr>
              <w:pStyle w:val="Compact"/>
              <w:jc w:val="left"/>
            </w:pPr>
            <w:r>
              <w:t xml:space="preserve">€2.4M</w:t>
            </w:r>
          </w:p>
        </w:tc>
        <w:tc>
          <w:tcPr/>
          <w:p>
            <w:pPr>
              <w:pStyle w:val="Compact"/>
              <w:jc w:val="left"/>
            </w:pPr>
            <w:r>
              <w:t xml:space="preserve">+58%</w:t>
            </w:r>
          </w:p>
        </w:tc>
        <w:tc>
          <w:tcPr/>
          <w:p>
            <w:pPr>
              <w:pStyle w:val="Compact"/>
              <w:jc w:val="left"/>
            </w:pPr>
            <w:r>
              <w:t xml:space="preserve">12%</w:t>
            </w:r>
          </w:p>
        </w:tc>
      </w:tr>
      <w:tr>
        <w:tc>
          <w:tcPr/>
          <w:p>
            <w:pPr>
              <w:pStyle w:val="Compact"/>
              <w:jc w:val="left"/>
            </w:pPr>
            <w:r>
              <w:rPr>
                <w:bCs/>
                <w:b/>
              </w:rPr>
              <w:t xml:space="preserve">Total Berlin Sales</w:t>
            </w:r>
          </w:p>
        </w:tc>
        <w:tc>
          <w:tcPr/>
          <w:p>
            <w:pPr>
              <w:pStyle w:val="Compact"/>
              <w:jc w:val="left"/>
            </w:pPr>
            <w:r>
              <w:rPr>
                <w:bCs/>
                <w:b/>
              </w:rPr>
              <w:t xml:space="preserve">€11.4M</w:t>
            </w:r>
          </w:p>
        </w:tc>
        <w:tc>
          <w:tcPr/>
          <w:p>
            <w:pPr>
              <w:pStyle w:val="Compact"/>
              <w:jc w:val="left"/>
            </w:pPr>
            <w:r>
              <w:rPr>
                <w:bCs/>
                <w:b/>
              </w:rPr>
              <w:t xml:space="preserve">+37%</w:t>
            </w:r>
          </w:p>
        </w:tc>
        <w:tc>
          <w:tcPr/>
          <w:p>
            <w:pPr>
              <w:pStyle w:val="Compact"/>
              <w:jc w:val="left"/>
            </w:pPr>
            <w:r>
              <w:rPr>
                <w:bCs/>
                <w:b/>
              </w:rPr>
              <w:t xml:space="preserve">19%</w:t>
            </w:r>
          </w:p>
        </w:tc>
      </w:tr>
    </w:tbl>
    <w:bookmarkStart w:id="22" w:name="critical-insights-from-the-berlin-data"/>
    <w:p>
      <w:pPr>
        <w:pStyle w:val="Heading3"/>
      </w:pPr>
      <w:r>
        <w:t xml:space="preserve">Critical Insights from the Berlin Data</w:t>
      </w:r>
    </w:p>
    <w:p>
      <w:pPr>
        <w:pStyle w:val="FirstParagraph"/>
      </w:pPr>
      <w:r>
        <w:t xml:space="preserve">Our Eco-Ceramic Facades saw exceptional growth (+58%) due to Berlin's new "Green Façade Mandate" for all buildings over 10,000 sqm. Mason's product met the strictest German energy efficiency standards (EnEV 2023), while our pricing strategy—competitive with traditional materials despite higher sustainability benefits—catalyzed rapid adoption. Notably,</w:t>
      </w:r>
      <w:r>
        <w:t xml:space="preserve"> </w:t>
      </w:r>
      <w:r>
        <w:rPr>
          <w:bCs/>
          <w:b/>
        </w:rPr>
        <w:t xml:space="preserve">Mason</w:t>
      </w:r>
      <w:r>
        <w:t xml:space="preserve"> </w:t>
      </w:r>
      <w:r>
        <w:t xml:space="preserve">achieved a 78% upsell rate on initial contracts through value-added services like digital twin integration for Berlin projects.</w:t>
      </w:r>
    </w:p>
    <w:p>
      <w:pPr>
        <w:pStyle w:val="BodyText"/>
      </w:pPr>
      <w:r>
        <w:rPr>
          <w:bCs/>
          <w:b/>
        </w:rPr>
        <w:t xml:space="preserve">Customer Satisfaction Driver:</w:t>
      </w:r>
      <w:r>
        <w:t xml:space="preserve"> </w:t>
      </w:r>
      <w:r>
        <w:t xml:space="preserve">Mason's Berlin team pioneered the "Berlin Sustainability Passport" program, providing clients with real-time carbon footprint tracking for each project. This innovation directly contributed to a 92% Net Promoter Score (NPS) in</w:t>
      </w:r>
      <w:r>
        <w:t xml:space="preserve"> </w:t>
      </w:r>
      <w:r>
        <w:rPr>
          <w:bCs/>
          <w:b/>
        </w:rPr>
        <w:t xml:space="preserve">Germany Berlin</w:t>
      </w:r>
      <w:r>
        <w:t xml:space="preserve">, far exceeding industry averages.</w:t>
      </w:r>
    </w:p>
    <w:bookmarkEnd w:id="22"/>
    <w:bookmarkEnd w:id="23"/>
    <w:bookmarkStart w:id="24" w:name="Xa13894de8b39e97959c2f2ba1fabd973e3531d9"/>
    <w:p>
      <w:pPr>
        <w:pStyle w:val="Heading2"/>
      </w:pPr>
      <w:r>
        <w:t xml:space="preserve">Strategic Initiatives Fueling Mason's Berlin Success</w:t>
      </w:r>
    </w:p>
    <w:p>
      <w:pPr>
        <w:pStyle w:val="FirstParagraph"/>
      </w:pPr>
      <w:r>
        <w:t xml:space="preserve">Mason's sales dominance in</w:t>
      </w:r>
      <w:r>
        <w:t xml:space="preserve"> </w:t>
      </w:r>
      <w:r>
        <w:rPr>
          <w:bCs/>
          <w:b/>
        </w:rPr>
        <w:t xml:space="preserve">Germany Berlin</w:t>
      </w:r>
      <w:r>
        <w:t xml:space="preserve"> </w:t>
      </w:r>
      <w:r>
        <w:t xml:space="preserve">stems from three tailored initiatives:</w:t>
      </w:r>
    </w:p>
    <w:p>
      <w:pPr>
        <w:numPr>
          <w:ilvl w:val="0"/>
          <w:numId w:val="1001"/>
        </w:numPr>
        <w:pStyle w:val="Compact"/>
      </w:pPr>
      <w:r>
        <w:rPr>
          <w:bCs/>
          <w:b/>
        </w:rPr>
        <w:t xml:space="preserve">Cultural Integration:</w:t>
      </w:r>
      <w:r>
        <w:t xml:space="preserve"> </w:t>
      </w:r>
      <w:r>
        <w:t xml:space="preserve">Our Berlin office hosts monthly "Eco-Design Workshops" with TU Berlin engineering students, creating a talent pipeline and community trust. This localized engagement boosted our brand credibility by 43% among architects.</w:t>
      </w:r>
    </w:p>
    <w:p>
      <w:pPr>
        <w:numPr>
          <w:ilvl w:val="0"/>
          <w:numId w:val="1001"/>
        </w:numPr>
        <w:pStyle w:val="Compact"/>
      </w:pPr>
      <w:r>
        <w:rPr>
          <w:bCs/>
          <w:b/>
        </w:rPr>
        <w:t xml:space="preserve">Regulatory Agility:</w:t>
      </w:r>
      <w:r>
        <w:t xml:space="preserve"> </w:t>
      </w:r>
      <w:r>
        <w:t xml:space="preserve">Mason's legal team co-developed documentation templates for German building codes, reducing proposal timelines by 65% compared to competitors using generic templates.</w:t>
      </w:r>
    </w:p>
    <w:bookmarkEnd w:id="24"/>
    <w:bookmarkStart w:id="25" w:name="X0959158099d3571bd4b881e6466d54c96ad508e"/>
    <w:p>
      <w:pPr>
        <w:pStyle w:val="Heading2"/>
      </w:pPr>
      <w:r>
        <w:t xml:space="preserve">Challenges and Forward-Looking Strategies</w:t>
      </w:r>
    </w:p>
    <w:p>
      <w:pPr>
        <w:pStyle w:val="FirstParagraph"/>
      </w:pPr>
      <w:r>
        <w:t xml:space="preserve">Despite strong performance, the</w:t>
      </w:r>
      <w:r>
        <w:t xml:space="preserve"> </w:t>
      </w:r>
      <w:r>
        <w:rPr>
          <w:bCs/>
          <w:b/>
        </w:rPr>
        <w:t xml:space="preserve">Sales Report</w:t>
      </w:r>
      <w:r>
        <w:t xml:space="preserve"> </w:t>
      </w:r>
      <w:r>
        <w:t xml:space="preserve">identifies two challenges requiring immediate action: (1) Rising raw material costs for recycled steel impacted gross margins by 5%, and (2) Increased competition from Austrian firms entering the Berlin market. To address these, Mason is launching Project "Eisenhütte" in Q4 2024—a local partnership with Berlin's recycling giant, Stadtreinigung, to secure cost-stable material sourcing.</w:t>
      </w:r>
    </w:p>
    <w:p>
      <w:pPr>
        <w:pStyle w:val="BodyText"/>
      </w:pPr>
      <w:r>
        <w:t xml:space="preserve">Looking ahead to 2025, Mason will double down on the</w:t>
      </w:r>
      <w:r>
        <w:t xml:space="preserve"> </w:t>
      </w:r>
      <w:r>
        <w:rPr>
          <w:bCs/>
          <w:b/>
        </w:rPr>
        <w:t xml:space="preserve">Germany Berlin</w:t>
      </w:r>
      <w:r>
        <w:t xml:space="preserve"> </w:t>
      </w:r>
      <w:r>
        <w:t xml:space="preserve">opportunity by:</w:t>
      </w:r>
    </w:p>
    <w:p>
      <w:pPr>
        <w:numPr>
          <w:ilvl w:val="0"/>
          <w:numId w:val="1002"/>
        </w:numPr>
        <w:pStyle w:val="Compact"/>
      </w:pPr>
      <w:r>
        <w:t xml:space="preserve">Investing €3.2M in a new R&amp;D lab at the Berlin Campus for sustainable materials (target: 15% cost reduction in key products)</w:t>
      </w:r>
    </w:p>
    <w:p>
      <w:pPr>
        <w:numPr>
          <w:ilvl w:val="0"/>
          <w:numId w:val="1002"/>
        </w:numPr>
        <w:pStyle w:val="Compact"/>
      </w:pPr>
      <w:r>
        <w:t xml:space="preserve">Expanding our "Berlin Green Certification" program to support developers in meeting local climate laws</w:t>
      </w:r>
    </w:p>
    <w:p>
      <w:pPr>
        <w:numPr>
          <w:ilvl w:val="0"/>
          <w:numId w:val="1002"/>
        </w:numPr>
        <w:pStyle w:val="Compact"/>
      </w:pPr>
      <w:r>
        <w:t xml:space="preserve">Partnering with Deutsche Bahn for sustainable infrastructure projects across the capital region</w:t>
      </w:r>
    </w:p>
    <w:bookmarkEnd w:id="25"/>
    <w:bookmarkStart w:id="26" w:name="X5c7a648bc53df7ad651e8cbfbd1b1e220553524"/>
    <w:p>
      <w:pPr>
        <w:pStyle w:val="Heading2"/>
      </w:pPr>
      <w:r>
        <w:t xml:space="preserve">Conclusion: Mason's Berlin Momentum as a Model for Europe</w:t>
      </w:r>
    </w:p>
    <w:p>
      <w:pPr>
        <w:pStyle w:val="FirstParagraph"/>
      </w:pPr>
      <w:r>
        <w:t xml:space="preserve">This Sales Report confirms that Mason has not merely entered the German market—we have redefined it in Berlin. Our success demonstrates how deep localization, regulatory expertise, and environmental alignment create sustainable competitive advantage. In</w:t>
      </w:r>
      <w:r>
        <w:t xml:space="preserve"> </w:t>
      </w:r>
      <w:r>
        <w:rPr>
          <w:bCs/>
          <w:b/>
        </w:rPr>
        <w:t xml:space="preserve">Germany Berlin</w:t>
      </w:r>
      <w:r>
        <w:t xml:space="preserve">, Mason isn't just selling products; we're building partnerships that accelerate Germany's climate goals while driving exceptional financial returns.</w:t>
      </w:r>
    </w:p>
    <w:p>
      <w:pPr>
        <w:pStyle w:val="BodyText"/>
      </w:pPr>
      <w:r>
        <w:t xml:space="preserve">With the Berlin office now serving as a blueprint for our European operations, we project 45% total sales growth for Mason in Germany by Q4 2025. This report underscores why Berlin remains Mason's most valuable market and validates our strategy: when global innovation meets hyper-local execution, extraordinary results follow. The next chapter of</w:t>
      </w:r>
      <w:r>
        <w:t xml:space="preserve"> </w:t>
      </w:r>
      <w:r>
        <w:rPr>
          <w:bCs/>
          <w:b/>
        </w:rPr>
        <w:t xml:space="preserve">Mason</w:t>
      </w:r>
      <w:r>
        <w:t xml:space="preserve">’s journey begins here—with Berlin leading the way.</w:t>
      </w:r>
    </w:p>
    <w:p>
      <w:pPr>
        <w:pStyle w:val="BodyText"/>
      </w:pPr>
      <w:r>
        <w:t xml:space="preserve">Sales Report | Mason Global | Germany Berlin Office | Q3 2024 Edition | Confidential</w:t>
      </w:r>
    </w:p>
    <w:p>
      <w:pPr>
        <w:pStyle w:val="BodyText"/>
      </w:pPr>
      <w:r>
        <w:t xml:space="preserve">Prepared by: Mason Europe Sales Strategy Team • Contact: berlin.sales@masonglobal.com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Mason's Performance in Germany Berlin</dc:title>
  <dc:creator/>
  <dc:language>en</dc:language>
  <cp:keywords/>
  <dcterms:created xsi:type="dcterms:W3CDTF">2026-07-20T08:54:26Z</dcterms:created>
  <dcterms:modified xsi:type="dcterms:W3CDTF">2026-07-20T08:54:26Z</dcterms:modified>
</cp:coreProperties>
</file>

<file path=docProps/custom.xml><?xml version="1.0" encoding="utf-8"?>
<Properties xmlns="http://schemas.openxmlformats.org/officeDocument/2006/custom-properties" xmlns:vt="http://schemas.openxmlformats.org/officeDocument/2006/docPropsVTypes"/>
</file>