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8" w:name="X9524b2a07cdf18c2dfcdfd9d87a70562766373e"/>
    <w:p>
      <w:pPr>
        <w:pStyle w:val="Heading1"/>
      </w:pPr>
      <w:r>
        <w:t xml:space="preserve">Sales Report: Mason's Strategic Growth and Market Dominance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Covered:</w:t>
      </w:r>
      <w:r>
        <w:t xml:space="preserve"> </w:t>
      </w:r>
      <w:r>
        <w:t xml:space="preserve">Germany Frankfurt Metropolitan Area</w:t>
      </w:r>
    </w:p>
    <w:bookmarkStart w:id="20" w:name="i.-executive-summary"/>
    <w:p>
      <w:pPr>
        <w:pStyle w:val="Heading2"/>
      </w:pPr>
      <w:r>
        <w:t xml:space="preserve">I. Executive Summary</w:t>
      </w:r>
    </w:p>
    <w:p>
      <w:pPr>
        <w:pStyle w:val="FirstParagraph"/>
      </w:pPr>
      <w:r>
        <w:t xml:space="preserve">This comprehensive Sales Report details Mason's exceptional performance within the Germany Frankfurt market during Q3 2023. Mason, a leading innovator in sustainable industrial automation solutions, has achieved a remarkable 34% year-over-year sales growth in Frankfurt, outperforming regional competitors by 17 percentage points. The Frankfurt office—strategically positioned as Mason's European hub—has cemented its role as the engine driving Mason's expansion across Germany and Central Europe. This report validates our market leadership strategy while identifying actionable pathways for sustained dominance in one of Europe's most dynamic economic centers.</w:t>
      </w:r>
    </w:p>
    <w:bookmarkEnd w:id="20"/>
    <w:bookmarkStart w:id="21" w:name="X5d7ae9bc65e6036bdaee449def492d43b3a377a"/>
    <w:p>
      <w:pPr>
        <w:pStyle w:val="Heading2"/>
      </w:pPr>
      <w:r>
        <w:t xml:space="preserve">II. Frankfurt Market Context: Why Germany Frankfurt Matters</w:t>
      </w:r>
    </w:p>
    <w:p>
      <w:pPr>
        <w:pStyle w:val="FirstParagraph"/>
      </w:pPr>
      <w:r>
        <w:t xml:space="preserve">Frankfurt, Germany's financial capital and logistics nexus, represents a critical growth corridor for Mason. As the primary hub of Deutsche Börse, European Central Bank operations, and 150+ multinational headquarters, the Frankfurt market offers unparalleled access to automotive (Mercedes-Benz), finance (Deutsche Bank), and manufacturing giants. Mason's strategic decision to establish its German headquarters in Frankfurt directly aligns with client concentration patterns—83% of our top 20 enterprise accounts reside within a 30-kilometer radius. This geographical advantage has translated into a 41% reduction in customer acquisition costs compared to other German regions, making Germany Frankfurt the most efficient sales territory in Mason's global portfolio.</w:t>
      </w:r>
    </w:p>
    <w:bookmarkEnd w:id="21"/>
    <w:bookmarkStart w:id="22" w:name="X5a610213879f9ada195aa70857daa14dbb60bbb"/>
    <w:p>
      <w:pPr>
        <w:pStyle w:val="Heading2"/>
      </w:pPr>
      <w:r>
        <w:t xml:space="preserve">III. Q3 Sales Performance: Mason's Frankfurt Breakthrough</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18.7M</w:t>
      </w:r>
    </w:p>
    <w:p>
      <w:pPr>
        <w:pStyle w:val="BodyText"/>
      </w:pPr>
      <w:r>
        <w:t xml:space="preserve">13.9M</w:t>
      </w:r>
    </w:p>
    <w:p>
      <w:pPr>
        <w:pStyle w:val="BodyText"/>
      </w:pPr>
      <w:r>
        <w:t xml:space="preserve">+34.5%</w:t>
      </w:r>
    </w:p>
    <w:p>
      <w:pPr>
        <w:pStyle w:val="BodyText"/>
      </w:pPr>
      <w:r>
        <w:t xml:space="preserve">New Client Acquisition</w:t>
      </w:r>
    </w:p>
    <w:p>
      <w:pPr>
        <w:pStyle w:val="BodyText"/>
      </w:pPr>
      <w:r>
        <w:t xml:space="preserve">27</w:t>
      </w:r>
    </w:p>
    <w:p>
      <w:pPr>
        <w:pStyle w:val="BodyText"/>
      </w:pPr>
      <w:r>
        <w:t xml:space="preserve">16</w:t>
      </w:r>
    </w:p>
    <w:p>
      <w:pPr>
        <w:pStyle w:val="BodyText"/>
      </w:pPr>
      <w:r>
        <w:t xml:space="preserve">+68.8%</w:t>
      </w:r>
    </w:p>
    <w:p>
      <w:pPr>
        <w:pStyle w:val="BodyText"/>
      </w:pPr>
      <w:r>
        <w:t xml:space="preserve">Cross-Sell Ratio</w:t>
      </w:r>
    </w:p>
    <w:p>
      <w:pPr>
        <w:pStyle w:val="BodyText"/>
      </w:pPr>
      <w:r>
        <w:t xml:space="preserve">3.2x</w:t>
      </w:r>
    </w:p>
    <w:p>
      <w:pPr>
        <w:pStyle w:val="BodyText"/>
      </w:pPr>
      <w:r>
        <w:t xml:space="preserve">2.4x</w:t>
      </w:r>
    </w:p>
    <w:p>
      <w:pPr>
        <w:pStyle w:val="BodyText"/>
      </w:pPr>
      <w:r>
        <w:t xml:space="preserve">Market Share (Industrial Automation)</w:t>
      </w:r>
    </w:p>
    <w:p>
      <w:pPr>
        <w:pStyle w:val="BodyText"/>
      </w:pPr>
      <w:r>
        <w:t xml:space="preserve">29%</w:t>
      </w:r>
    </w:p>
    <w:p>
      <w:pPr>
        <w:pStyle w:val="BodyText"/>
      </w:pPr>
      <w:r>
        <w:t xml:space="preserve">19%</w:t>
      </w:r>
    </w:p>
    <w:p>
      <w:pPr>
        <w:pStyle w:val="BodyText"/>
      </w:pPr>
      <w:r>
        <w:rPr>
          <w:bCs/>
          <w:b/>
        </w:rPr>
        <w:t xml:space="preserve">+10 pts.</w:t>
      </w:r>
    </w:p>
    <w:p>
      <w:pPr>
        <w:pStyle w:val="BodyText"/>
      </w:pPr>
      <w:r>
        <w:t xml:space="preserve">Mason's Frankfurt office delivered record-breaking results through three strategic initiatives:</w:t>
      </w:r>
    </w:p>
    <w:p>
      <w:pPr>
        <w:numPr>
          <w:ilvl w:val="0"/>
          <w:numId w:val="1001"/>
        </w:numPr>
        <w:pStyle w:val="Compact"/>
      </w:pPr>
      <w:r>
        <w:rPr>
          <w:iCs/>
          <w:i/>
        </w:rPr>
        <w:t xml:space="preserve">Frankfurt Automotive Cluster Initiative:</w:t>
      </w:r>
      <w:r>
        <w:t xml:space="preserve"> </w:t>
      </w:r>
      <w:r>
        <w:t xml:space="preserve">Exclusive partnerships with Mercedes-Benz and Porsche for AI-driven assembly line optimization, generating €5.2M in Q3 alone.</w:t>
      </w:r>
    </w:p>
    <w:p>
      <w:pPr>
        <w:numPr>
          <w:ilvl w:val="0"/>
          <w:numId w:val="1001"/>
        </w:numPr>
        <w:pStyle w:val="Compact"/>
      </w:pPr>
      <w:r>
        <w:rPr>
          <w:iCs/>
          <w:i/>
        </w:rPr>
        <w:t xml:space="preserve">Fintech Acceleration Program:</w:t>
      </w:r>
      <w:r>
        <w:t xml:space="preserve"> </w:t>
      </w:r>
      <w:r>
        <w:t xml:space="preserve">Tailored solutions for Deutsche Bank's digital transformation, securing a €3.8M multi-year contract after a 12-month pilot phase.</w:t>
      </w:r>
    </w:p>
    <w:p>
      <w:pPr>
        <w:numPr>
          <w:ilvl w:val="0"/>
          <w:numId w:val="1001"/>
        </w:numPr>
        <w:pStyle w:val="Compact"/>
      </w:pPr>
      <w:r>
        <w:rPr>
          <w:iCs/>
          <w:i/>
        </w:rPr>
        <w:t xml:space="preserve">Green Manufacturing Alliance:</w:t>
      </w:r>
      <w:r>
        <w:t xml:space="preserve"> </w:t>
      </w:r>
      <w:r>
        <w:t xml:space="preserve">Collaboration with Frankfurt's sustainability council to deploy carbon-tracking automation systems, capturing 15% of the region's eco-industrial market.</w:t>
      </w:r>
    </w:p>
    <w:bookmarkEnd w:id="22"/>
    <w:bookmarkStart w:id="23" w:name="X5280145a544c393171ccbe9939d10821ec4ab7a"/>
    <w:p>
      <w:pPr>
        <w:pStyle w:val="Heading2"/>
      </w:pPr>
      <w:r>
        <w:t xml:space="preserve">IV. Customer Satisfaction: Mason's Reputation in Germany Frankfurt</w:t>
      </w:r>
    </w:p>
    <w:p>
      <w:pPr>
        <w:pStyle w:val="FirstParagraph"/>
      </w:pPr>
      <w:r>
        <w:t xml:space="preserve">Customer feedback across Frankfurt consistently highlights Mason's operational excellence. In our Q3 satisfaction survey (n=147 enterprise clients), Mason achieved a 94% Net Promoter Score—surpassing the German industry average of 68%. Key themes from client testimonials:</w:t>
      </w:r>
    </w:p>
    <w:p>
      <w:pPr>
        <w:pStyle w:val="BlockText"/>
      </w:pPr>
      <w:r>
        <w:t xml:space="preserve">"Mason didn't just sell us technology; they re-engineered our Frankfurt production workflow. Their local team's understanding of European compliance standards (GDPR, ISO 14001) was unparalleled." – Head of Operations, Automotive Tier-1 Supplier</w:t>
      </w:r>
    </w:p>
    <w:p>
      <w:pPr>
        <w:pStyle w:val="BlockText"/>
      </w:pPr>
      <w:r>
        <w:t xml:space="preserve">"The speed of implementation in Frankfurt—72 hours from contract signing to on-site deployment—makes Mason the undisputed leader for time-sensitive industrial automation." – CTO, Financial Services Firm</w:t>
      </w:r>
    </w:p>
    <w:p>
      <w:pPr>
        <w:pStyle w:val="FirstParagraph"/>
      </w:pPr>
      <w:r>
        <w:t xml:space="preserve">These insights directly inform our Germany Frankfurt customer retention strategy, which now boasts 91% renewal rates—the highest across Mason's global offices.</w:t>
      </w:r>
    </w:p>
    <w:bookmarkEnd w:id="23"/>
    <w:bookmarkStart w:id="24" w:name="X4859388e71f50ccf91055cdeb02c6c18fcf988d"/>
    <w:p>
      <w:pPr>
        <w:pStyle w:val="Heading2"/>
      </w:pPr>
      <w:r>
        <w:t xml:space="preserve">V. Competitive Landscape Analysis: Mason vs. Rivals in Frankfurt</w:t>
      </w:r>
    </w:p>
    <w:p>
      <w:pPr>
        <w:pStyle w:val="FirstParagraph"/>
      </w:pPr>
      <w:r>
        <w:t xml:space="preserve">Frankfurt's competitive environment includes Siemens (45% market share), ABB (30%), and local players like Kuka. Mason has executed a decisive differentiation strategy:</w:t>
      </w:r>
    </w:p>
    <w:p>
      <w:pPr>
        <w:numPr>
          <w:ilvl w:val="0"/>
          <w:numId w:val="1002"/>
        </w:numPr>
        <w:pStyle w:val="Compact"/>
      </w:pPr>
      <w:r>
        <w:rPr>
          <w:bCs/>
          <w:b/>
        </w:rPr>
        <w:t xml:space="preserve">Localized Expertise:</w:t>
      </w:r>
      <w:r>
        <w:t xml:space="preserve"> </w:t>
      </w:r>
      <w:r>
        <w:t xml:space="preserve">100% of Frankfurt sales team holds German engineering degrees or equivalent EU certifications, enabling precise regulatory navigation.</w:t>
      </w:r>
    </w:p>
    <w:p>
      <w:pPr>
        <w:numPr>
          <w:ilvl w:val="0"/>
          <w:numId w:val="1002"/>
        </w:numPr>
        <w:pStyle w:val="Compact"/>
      </w:pPr>
      <w:r>
        <w:rPr>
          <w:bCs/>
          <w:b/>
        </w:rPr>
        <w:t xml:space="preserve">Hyper-Regional Focus:</w:t>
      </w:r>
      <w:r>
        <w:t xml:space="preserve"> </w:t>
      </w:r>
      <w:r>
        <w:t xml:space="preserve">Dedicated Frankfurt-specific product modules (e.g., compliance with Hesse state environmental codes) absent in competitors' generic offerings.</w:t>
      </w:r>
    </w:p>
    <w:p>
      <w:pPr>
        <w:numPr>
          <w:ilvl w:val="0"/>
          <w:numId w:val="1002"/>
        </w:numPr>
        <w:pStyle w:val="Compact"/>
      </w:pPr>
      <w:r>
        <w:rPr>
          <w:bCs/>
          <w:b/>
        </w:rPr>
        <w:t xml:space="preserve">Ecosystem Partnerships:</w:t>
      </w:r>
      <w:r>
        <w:t xml:space="preserve"> </w:t>
      </w:r>
      <w:r>
        <w:t xml:space="preserve">Strategic alliances with Frankfurt's Fraunhofer Institute and Goethe University for R&amp;D, creating proprietary solutions unavailable to global rivals.</w:t>
      </w:r>
    </w:p>
    <w:bookmarkEnd w:id="24"/>
    <w:bookmarkStart w:id="25" w:name="vi.-challenges-and-mitigation-strategies"/>
    <w:p>
      <w:pPr>
        <w:pStyle w:val="Heading2"/>
      </w:pPr>
      <w:r>
        <w:t xml:space="preserve">VI. Challenges and Mitigation Strategies</w:t>
      </w:r>
    </w:p>
    <w:p>
      <w:pPr>
        <w:pStyle w:val="FirstParagraph"/>
      </w:pPr>
      <w:r>
        <w:t xml:space="preserve">Despite growth, two challenges require immediate attention in the Germany Frankfurt market:</w:t>
      </w:r>
    </w:p>
    <w:p>
      <w:pPr>
        <w:numPr>
          <w:ilvl w:val="0"/>
          <w:numId w:val="1003"/>
        </w:numPr>
        <w:pStyle w:val="Compact"/>
      </w:pPr>
      <w:r>
        <w:rPr>
          <w:iCs/>
          <w:i/>
        </w:rPr>
        <w:t xml:space="preserve">Talent Acquisition Shortage:</w:t>
      </w:r>
      <w:r>
        <w:t xml:space="preserve"> </w:t>
      </w:r>
      <w:r>
        <w:t xml:space="preserve">68% of sales managers report difficulty sourcing German-speaking automation engineers. *Mitigation:* Partnering with TU Darmstadt for a Mason-Frankfurt Talent Pipeline program launching Q1 2024.</w:t>
      </w:r>
    </w:p>
    <w:p>
      <w:pPr>
        <w:numPr>
          <w:ilvl w:val="0"/>
          <w:numId w:val="1003"/>
        </w:numPr>
        <w:pStyle w:val="Compact"/>
      </w:pPr>
      <w:r>
        <w:rPr>
          <w:iCs/>
          <w:i/>
        </w:rPr>
        <w:t xml:space="preserve">Supply Chain Volatility:</w:t>
      </w:r>
      <w:r>
        <w:t xml:space="preserve"> </w:t>
      </w:r>
      <w:r>
        <w:t xml:space="preserve">Component delays from Eastern Europe impacted Q3 delivery timelines by 14 days. *Mitigation:* Establishing a secondary EU supply hub in Leipzig (operational by December 2023).</w:t>
      </w:r>
    </w:p>
    <w:bookmarkEnd w:id="25"/>
    <w:bookmarkStart w:id="26" w:name="Xfb806d60c0782f34c2b4b345b1ce13760ae0df0"/>
    <w:p>
      <w:pPr>
        <w:pStyle w:val="Heading2"/>
      </w:pPr>
      <w:r>
        <w:t xml:space="preserve">VII. Strategic Recommendations for Germany Frankfurt</w:t>
      </w:r>
    </w:p>
    <w:p>
      <w:pPr>
        <w:pStyle w:val="FirstParagraph"/>
      </w:pPr>
      <w:r>
        <w:t xml:space="preserve">To capitalize on Frankfurt's trajectory, we propose three priority actions:</w:t>
      </w:r>
    </w:p>
    <w:p>
      <w:pPr>
        <w:numPr>
          <w:ilvl w:val="0"/>
          <w:numId w:val="1004"/>
        </w:numPr>
        <w:pStyle w:val="Compact"/>
      </w:pPr>
      <w:r>
        <w:rPr>
          <w:bCs/>
          <w:b/>
        </w:rPr>
        <w:t xml:space="preserve">Expand the Frankfurt Innovation Center:</w:t>
      </w:r>
      <w:r>
        <w:t xml:space="preserve"> </w:t>
      </w:r>
      <w:r>
        <w:t xml:space="preserve">Allocate €1.5M to create a dedicated R&amp;D space focused on EU regulatory tech (e.g., AI ethics compliance). This will accelerate product adaptation for Germany and neighboring markets.</w:t>
      </w:r>
    </w:p>
    <w:p>
      <w:pPr>
        <w:numPr>
          <w:ilvl w:val="0"/>
          <w:numId w:val="1004"/>
        </w:numPr>
        <w:pStyle w:val="Compact"/>
      </w:pPr>
      <w:r>
        <w:rPr>
          <w:bCs/>
          <w:b/>
        </w:rPr>
        <w:t xml:space="preserve">Leverage Frankfurt's Logistics Hub Status:</w:t>
      </w:r>
      <w:r>
        <w:t xml:space="preserve"> </w:t>
      </w:r>
      <w:r>
        <w:t xml:space="preserve">Develop "Frankfurt-to-EU" sales packages bundling automation solutions with our logistics partners' freight services—projected to boost cross-border sales by 25% in 2024.</w:t>
      </w:r>
    </w:p>
    <w:p>
      <w:pPr>
        <w:numPr>
          <w:ilvl w:val="0"/>
          <w:numId w:val="1004"/>
        </w:numPr>
        <w:pStyle w:val="Compact"/>
      </w:pPr>
      <w:r>
        <w:rPr>
          <w:bCs/>
          <w:b/>
        </w:rPr>
        <w:t xml:space="preserve">Forge Government Alliances:</w:t>
      </w:r>
      <w:r>
        <w:t xml:space="preserve"> </w:t>
      </w:r>
      <w:r>
        <w:t xml:space="preserve">Partner with Frankfurt's Economic Development Agency to co-fund industrial decarbonization projects, positioning Mason as the preferred supplier for Germany's sustainability initiatives.</w:t>
      </w:r>
    </w:p>
    <w:bookmarkEnd w:id="26"/>
    <w:bookmarkStart w:id="27" w:name="X2749262480d75c6063c869a578e075f018c86b8"/>
    <w:p>
      <w:pPr>
        <w:pStyle w:val="Heading2"/>
      </w:pPr>
      <w:r>
        <w:t xml:space="preserve">VIII. Conclusion: Mason's Frankfurt Foundation for European Dominance</w:t>
      </w:r>
    </w:p>
    <w:p>
      <w:pPr>
        <w:pStyle w:val="FirstParagraph"/>
      </w:pPr>
      <w:r>
        <w:t xml:space="preserve">The Germany Frankfurt market has proven itself as Mason's most strategic growth engine. This Sales Report demonstrates that our localized approach—rooted in understanding Frankfurt's unique economic, regulatory, and cultural landscape—delivers superior results versus generic global strategies. With 87% of Q3 revenue coming from repeat customers or cross-sells (versus 42% industry average), Mason has achieved true market leadership in Germany Frankfurt. As we scale operations across Europe, the Frankfurt office will serve as the blueprint for all future regional expansions. We project a minimum of €25M revenue from Germany Frankfurt by Q1 2024, cementing Mason's position as Europe's automation technology leader.</w:t>
      </w:r>
    </w:p>
    <w:p>
      <w:pPr>
        <w:pStyle w:val="BodyText"/>
      </w:pPr>
      <w:r>
        <w:rPr>
          <w:bCs/>
          <w:b/>
        </w:rPr>
        <w:t xml:space="preserve">Prepared By:</w:t>
      </w:r>
      <w:r>
        <w:t xml:space="preserve"> </w:t>
      </w:r>
      <w:r>
        <w:t xml:space="preserve">Global Sales Strategy Group | Mason Technologies</w:t>
      </w:r>
      <w:r>
        <w:br/>
      </w:r>
      <w:r>
        <w:rPr>
          <w:bCs/>
          <w:b/>
        </w:rPr>
        <w:t xml:space="preserve">Contact:</w:t>
      </w:r>
      <w:r>
        <w:t xml:space="preserve"> </w:t>
      </w:r>
      <w:r>
        <w:t xml:space="preserve">sales.strategy@mason.tech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Germany Frankfurt Market</dc:title>
  <dc:creator/>
  <dc:language>en</dc:language>
  <cp:keywords/>
  <dcterms:created xsi:type="dcterms:W3CDTF">2025-12-11T00:10:48Z</dcterms:created>
  <dcterms:modified xsi:type="dcterms:W3CDTF">2025-12-11T00:10:48Z</dcterms:modified>
</cp:coreProperties>
</file>

<file path=docProps/custom.xml><?xml version="1.0" encoding="utf-8"?>
<Properties xmlns="http://schemas.openxmlformats.org/officeDocument/2006/custom-properties" xmlns:vt="http://schemas.openxmlformats.org/officeDocument/2006/docPropsVTypes"/>
</file>