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w:t>
      </w:r>
      <w:r>
        <w:t xml:space="preserve"> </w:t>
      </w:r>
      <w:r>
        <w:t xml:space="preserve">Iran</w:t>
      </w:r>
      <w:r>
        <w:t xml:space="preserve"> </w:t>
      </w:r>
      <w:r>
        <w:t xml:space="preserve">Tehran</w:t>
      </w:r>
      <w:r>
        <w:t xml:space="preserve"> </w:t>
      </w:r>
      <w:r>
        <w:t xml:space="preserve">Market</w:t>
      </w:r>
      <w:r>
        <w:t xml:space="preserve"> </w:t>
      </w:r>
      <w:r>
        <w:t xml:space="preserve">Analysis</w:t>
      </w:r>
    </w:p>
    <w:bookmarkStart w:id="28" w:name="X3e3c43bab2eeb2332c0a378967ca7c8a8d5fa84"/>
    <w:p>
      <w:pPr>
        <w:pStyle w:val="Heading1"/>
      </w:pPr>
      <w:r>
        <w:t xml:space="preserve">Comprehensive Sales Report: Mason's Performance in Iran Tehran Market (Q3 2023)</w:t>
      </w:r>
    </w:p>
    <w:bookmarkStart w:id="20" w:name="executive-summary"/>
    <w:p>
      <w:pPr>
        <w:pStyle w:val="Heading2"/>
      </w:pPr>
      <w:r>
        <w:t xml:space="preserve">Executive Summary</w:t>
      </w:r>
    </w:p>
    <w:p>
      <w:pPr>
        <w:pStyle w:val="FirstParagraph"/>
      </w:pPr>
      <w:r>
        <w:t xml:space="preserve">This official Sales Report details Mason's operational achievements and strategic positioning within the critical Tehran market of Iran. As a leading provider of premium industrial solutions, Mason has demonstrated exceptional resilience and growth in one of the Middle East's most dynamic economic hubs. The Tehran market contributes 37% to Mason's total regional revenue, solidifying its status as our second-largest operational center after Dubai. This report substantiates how Mason leveraged local market nuances to achieve a 22% year-over-year sales increase, surpassing all pre-announced targets despite complex geopolitical and regulatory challenges specific to Iran Tehran.</w:t>
      </w:r>
    </w:p>
    <w:bookmarkEnd w:id="20"/>
    <w:bookmarkStart w:id="21" w:name="X820f90ddb473c1e72ffab7703d45c02d58d589d"/>
    <w:p>
      <w:pPr>
        <w:pStyle w:val="Heading2"/>
      </w:pPr>
      <w:r>
        <w:t xml:space="preserve">Market Context: Why Tehran Matters for Mason</w:t>
      </w:r>
    </w:p>
    <w:p>
      <w:pPr>
        <w:pStyle w:val="FirstParagraph"/>
      </w:pPr>
      <w:r>
        <w:t xml:space="preserve">Tehran represents far more than a geographic location for Mason—it is the economic nerve center of Iran where 55% of the nation's industrial output originates. As the capital city, it hosts key government procurement bodies, major manufacturing complexes (including automotive and petrochemical sectors), and over 40% of Iran's Fortune 500 companies. This Sales Report emphasizes that Mason's strategic investment in establishing a dedicated Tehran branch in 2021 has yielded compounding returns: our market share has grown from 18% to 31% among premium industrial solution providers in the city since inception. The consistent focus on "Iran Tehran" as a distinct market segment—rather than treating it as part of a broader regional strategy—has been pivotal to our success.</w:t>
      </w:r>
    </w:p>
    <w:bookmarkEnd w:id="21"/>
    <w:bookmarkStart w:id="22" w:name="q3-2023-sales-performance-breakdown"/>
    <w:p>
      <w:pPr>
        <w:pStyle w:val="Heading2"/>
      </w:pPr>
      <w:r>
        <w:t xml:space="preserve">Q3 2023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Revenue (USD)</w:t>
            </w:r>
          </w:p>
        </w:tc>
        <w:tc>
          <w:tcPr/>
          <w:p>
            <w:pPr>
              <w:pStyle w:val="Compact"/>
              <w:jc w:val="left"/>
            </w:pPr>
            <w:r>
              <w:t xml:space="preserve">YoY Growth</w:t>
            </w:r>
          </w:p>
        </w:tc>
        <w:tc>
          <w:tcPr/>
          <w:p>
            <w:pPr>
              <w:pStyle w:val="Compact"/>
              <w:jc w:val="left"/>
            </w:pPr>
            <w:r>
              <w:t xml:space="preserve">Tehran Market Share</w:t>
            </w:r>
          </w:p>
        </w:tc>
      </w:tr>
      <w:tr>
        <w:tc>
          <w:tcPr/>
          <w:p>
            <w:pPr>
              <w:pStyle w:val="Compact"/>
              <w:jc w:val="left"/>
            </w:pPr>
            <w:r>
              <w:t xml:space="preserve">Precision Manufacturing Equipment</w:t>
            </w:r>
          </w:p>
        </w:tc>
        <w:tc>
          <w:tcPr/>
          <w:p>
            <w:pPr>
              <w:pStyle w:val="Compact"/>
              <w:jc w:val="left"/>
            </w:pPr>
            <w:r>
              <w:t xml:space="preserve">$4.2M</w:t>
            </w:r>
          </w:p>
        </w:tc>
        <w:tc>
          <w:tcPr/>
          <w:p>
            <w:pPr>
              <w:pStyle w:val="Compact"/>
              <w:jc w:val="left"/>
            </w:pPr>
            <w:r>
              <w:t xml:space="preserve">+31%</w:t>
            </w:r>
          </w:p>
        </w:tc>
        <w:tc>
          <w:tcPr/>
          <w:p>
            <w:pPr>
              <w:pStyle w:val="Compact"/>
              <w:jc w:val="left"/>
            </w:pPr>
            <w:r>
              <w:t xml:space="preserve">38%</w:t>
            </w:r>
          </w:p>
        </w:tc>
      </w:tr>
      <w:tr>
        <w:tc>
          <w:tcPr/>
          <w:p>
            <w:pPr>
              <w:pStyle w:val="Compact"/>
              <w:jc w:val="left"/>
            </w:pPr>
            <w:r>
              <w:t xml:space="preserve">Sustainable Energy Solutions</w:t>
            </w:r>
          </w:p>
        </w:tc>
        <w:tc>
          <w:tcPr/>
          <w:p>
            <w:pPr>
              <w:pStyle w:val="Compact"/>
              <w:jc w:val="left"/>
            </w:pPr>
            <w:r>
              <w:t xml:space="preserve">$2.8M</w:t>
            </w:r>
          </w:p>
        </w:tc>
        <w:tc>
          <w:tcPr/>
          <w:p>
            <w:pPr>
              <w:pStyle w:val="Compact"/>
              <w:jc w:val="left"/>
            </w:pPr>
            <w:r>
              <w:t xml:space="preserve">+19%</w:t>
            </w:r>
          </w:p>
        </w:tc>
        <w:tc>
          <w:tcPr/>
          <w:p>
            <w:pPr>
              <w:pStyle w:val="Compact"/>
              <w:jc w:val="left"/>
            </w:pPr>
            <w:r>
              <w:t xml:space="preserve">27%</w:t>
            </w:r>
          </w:p>
        </w:tc>
      </w:tr>
      <w:tr>
        <w:tc>
          <w:tcPr/>
          <w:p>
            <w:pPr>
              <w:pStyle w:val="Compact"/>
              <w:jc w:val="left"/>
            </w:pPr>
            <w:r>
              <w:t xml:space="preserve">Digital Process Optimization Tools</w:t>
            </w:r>
          </w:p>
        </w:tc>
        <w:tc>
          <w:tcPr/>
          <w:p>
            <w:pPr>
              <w:pStyle w:val="Compact"/>
              <w:jc w:val="left"/>
            </w:pPr>
            <w:r>
              <w:t xml:space="preserve">$1.9M</w:t>
            </w:r>
          </w:p>
        </w:tc>
        <w:tc>
          <w:tcPr/>
          <w:p>
            <w:pPr>
              <w:pStyle w:val="Compact"/>
              <w:jc w:val="left"/>
            </w:pPr>
            <w:r>
              <w:t xml:space="preserve">+45%</w:t>
            </w:r>
          </w:p>
        </w:tc>
        <w:tc>
          <w:tcPr/>
          <w:p>
            <w:pPr>
              <w:pStyle w:val="Compact"/>
              <w:jc w:val="left"/>
            </w:pPr>
            <w:r>
              <w:t xml:space="preserve">42%</w:t>
            </w:r>
          </w:p>
        </w:tc>
      </w:tr>
    </w:tbl>
    <w:bookmarkEnd w:id="22"/>
    <w:bookmarkStart w:id="23" w:name="key-growth-drivers-in-iran-tehran"/>
    <w:p>
      <w:pPr>
        <w:pStyle w:val="Heading2"/>
      </w:pPr>
      <w:r>
        <w:t xml:space="preserve">Key Growth Drivers in Iran Tehran</w:t>
      </w:r>
    </w:p>
    <w:p>
      <w:pPr>
        <w:pStyle w:val="FirstParagraph"/>
      </w:pPr>
      <w:r>
        <w:t xml:space="preserve">The success documented in this Sales Report stems from three tailored strategies for the Tehran market:</w:t>
      </w:r>
    </w:p>
    <w:p>
      <w:pPr>
        <w:numPr>
          <w:ilvl w:val="0"/>
          <w:numId w:val="1001"/>
        </w:numPr>
        <w:pStyle w:val="Compact"/>
      </w:pPr>
      <w:r>
        <w:rPr>
          <w:bCs/>
          <w:b/>
        </w:rPr>
        <w:t xml:space="preserve">Localized Compliance Framework:</w:t>
      </w:r>
      <w:r>
        <w:t xml:space="preserve"> </w:t>
      </w:r>
      <w:r>
        <w:t xml:space="preserve">Mason developed a specialized regulatory compliance team focused exclusively on Iranian industrial standards (ISIRI) and Tehran municipal codes. This reduced approval timelines by 63% compared to industry averages, enabling faster contract execution for major clients like Khuzestan Petrochemical and Saipa Automotive.</w:t>
      </w:r>
    </w:p>
    <w:p>
      <w:pPr>
        <w:numPr>
          <w:ilvl w:val="0"/>
          <w:numId w:val="1001"/>
        </w:numPr>
        <w:pStyle w:val="Compact"/>
      </w:pPr>
      <w:r>
        <w:rPr>
          <w:bCs/>
          <w:b/>
        </w:rPr>
        <w:t xml:space="preserve">Cultural Integration Initiatives:</w:t>
      </w:r>
      <w:r>
        <w:t xml:space="preserve"> </w:t>
      </w:r>
      <w:r>
        <w:t xml:space="preserve">Our Tehran branch implemented "Mason Connect" workshops addressing local business etiquette (e.g., scheduling protocols during Ramadan, relationship-building norms). This directly contributed to a 35% increase in repeat client engagement within the first year of implementation.</w:t>
      </w:r>
    </w:p>
    <w:p>
      <w:pPr>
        <w:numPr>
          <w:ilvl w:val="0"/>
          <w:numId w:val="1001"/>
        </w:numPr>
        <w:pStyle w:val="Compact"/>
      </w:pPr>
      <w:r>
        <w:rPr>
          <w:bCs/>
          <w:b/>
        </w:rPr>
        <w:t xml:space="preserve">Sustainable Supply Chain for Tehran:</w:t>
      </w:r>
      <w:r>
        <w:t xml:space="preserve"> </w:t>
      </w:r>
      <w:r>
        <w:t xml:space="preserve">Partnering with six Iranian logistics firms certified under Tehran's Green Business Initiative, Mason reduced delivery times from 14 to 7 days and cut carbon footprint by 28%. This environmentally conscious approach resonated deeply with Tehran's growing corporate sustainability focus.</w:t>
      </w:r>
    </w:p>
    <w:bookmarkEnd w:id="23"/>
    <w:bookmarkStart w:id="24" w:name="customer-insights-from-iran-tehran"/>
    <w:p>
      <w:pPr>
        <w:pStyle w:val="Heading2"/>
      </w:pPr>
      <w:r>
        <w:t xml:space="preserve">Customer Insights from Iran Tehran</w:t>
      </w:r>
    </w:p>
    <w:p>
      <w:pPr>
        <w:pStyle w:val="FirstParagraph"/>
      </w:pPr>
      <w:r>
        <w:t xml:space="preserve">Analysis of over 1,400 client interactions across Tehran reveals critical patterns:</w:t>
      </w:r>
    </w:p>
    <w:p>
      <w:pPr>
        <w:numPr>
          <w:ilvl w:val="0"/>
          <w:numId w:val="1002"/>
        </w:numPr>
        <w:pStyle w:val="Compact"/>
      </w:pPr>
      <w:r>
        <w:rPr>
          <w:bCs/>
          <w:b/>
        </w:rPr>
        <w:t xml:space="preserve">Prioritization of After-Sales Support:</w:t>
      </w:r>
      <w:r>
        <w:t xml:space="preserve"> </w:t>
      </w:r>
      <w:r>
        <w:t xml:space="preserve">89% of Tehran-based clients ranked technical support responsiveness as their top decision factor—driving Mason to establish a 24/7 dedicated service center in District 13, reducing resolution times from 5 days to under 12 hours.</w:t>
      </w:r>
    </w:p>
    <w:p>
      <w:pPr>
        <w:numPr>
          <w:ilvl w:val="0"/>
          <w:numId w:val="1002"/>
        </w:numPr>
        <w:pStyle w:val="Compact"/>
      </w:pPr>
      <w:r>
        <w:rPr>
          <w:bCs/>
          <w:b/>
        </w:rPr>
        <w:t xml:space="preserve">Local Partnership Preference:</w:t>
      </w:r>
      <w:r>
        <w:t xml:space="preserve"> </w:t>
      </w:r>
      <w:r>
        <w:t xml:space="preserve">Companies operating within Tehran's "Economic Zones" (e.g., Iran-Turkmenistan Free Trade Zone) show 4.7x higher purchase intent when Mason collaborates with Iranian co-investors—a strategy implemented in 12 key contracts during Q3.</w:t>
      </w:r>
    </w:p>
    <w:p>
      <w:pPr>
        <w:numPr>
          <w:ilvl w:val="0"/>
          <w:numId w:val="1002"/>
        </w:numPr>
        <w:pStyle w:val="Compact"/>
      </w:pPr>
      <w:r>
        <w:rPr>
          <w:bCs/>
          <w:b/>
        </w:rPr>
        <w:t xml:space="preserve">Technology Adoption Hurdles:</w:t>
      </w:r>
      <w:r>
        <w:t xml:space="preserve"> </w:t>
      </w:r>
      <w:r>
        <w:t xml:space="preserve">While digital tools gained traction, 68% of older manufacturers required customized on-site training. Mason's Tehran team developed "Mason Mentor" mobile training modules in Farsi, increasing digital solution adoption by 52%.</w:t>
      </w:r>
    </w:p>
    <w:bookmarkEnd w:id="24"/>
    <w:bookmarkStart w:id="25" w:name="challenges-and-adaptive-strategies"/>
    <w:p>
      <w:pPr>
        <w:pStyle w:val="Heading2"/>
      </w:pPr>
      <w:r>
        <w:t xml:space="preserve">Challenges and Adaptive Strategies</w:t>
      </w:r>
    </w:p>
    <w:p>
      <w:pPr>
        <w:pStyle w:val="FirstParagraph"/>
      </w:pPr>
      <w:r>
        <w:t xml:space="preserve">This Sales Report candidly addresses Tehran-specific obstacles:</w:t>
      </w:r>
    </w:p>
    <w:p>
      <w:pPr>
        <w:numPr>
          <w:ilvl w:val="0"/>
          <w:numId w:val="1003"/>
        </w:numPr>
        <w:pStyle w:val="Compact"/>
      </w:pPr>
      <w:r>
        <w:rPr>
          <w:bCs/>
          <w:b/>
        </w:rPr>
        <w:t xml:space="preserve">Sanctions-Related Logistics:</w:t>
      </w:r>
      <w:r>
        <w:t xml:space="preserve"> </w:t>
      </w:r>
      <w:r>
        <w:t xml:space="preserve">Currency fluctuations initially impacted pricing. Mason's solution was a flexible "Iranian Rial Pricing Index" tied to the Central Bank's exchange rate, ensuring transparent cost structures for clients while stabilizing our margins.</w:t>
      </w:r>
    </w:p>
    <w:p>
      <w:pPr>
        <w:numPr>
          <w:ilvl w:val="0"/>
          <w:numId w:val="1003"/>
        </w:numPr>
        <w:pStyle w:val="Compact"/>
      </w:pPr>
      <w:r>
        <w:rPr>
          <w:bCs/>
          <w:b/>
        </w:rPr>
        <w:t xml:space="preserve">Cultural Misalignment Risk:</w:t>
      </w:r>
      <w:r>
        <w:t xml:space="preserve"> </w:t>
      </w:r>
      <w:r>
        <w:t xml:space="preserve">Early sales team missteps during negotiations (e.g., overemphasizing speed over relationship-building) led to 3 high-value contract delays. Corrective action included mandatory Tehran cultural immersion training, resulting in zero repeat issues in Q3.</w:t>
      </w:r>
    </w:p>
    <w:p>
      <w:pPr>
        <w:numPr>
          <w:ilvl w:val="0"/>
          <w:numId w:val="1003"/>
        </w:numPr>
        <w:pStyle w:val="Compact"/>
      </w:pPr>
      <w:r>
        <w:rPr>
          <w:bCs/>
          <w:b/>
        </w:rPr>
        <w:t xml:space="preserve">Local Competition Intensification:</w:t>
      </w:r>
      <w:r>
        <w:t xml:space="preserve"> </w:t>
      </w:r>
      <w:r>
        <w:t xml:space="preserve">Domestic firms like Iran Machine Tools (IMT) aggressively undercut pricing. Mason countered by bundling value-added services (e.g., free factory audits), making price comparisons irrelevant for quality-conscious Tehran enterprises.</w:t>
      </w:r>
    </w:p>
    <w:bookmarkEnd w:id="25"/>
    <w:bookmarkStart w:id="26" w:name="X7e3b565abe037d0955bad46c99834ca311b6833"/>
    <w:p>
      <w:pPr>
        <w:pStyle w:val="Heading2"/>
      </w:pPr>
      <w:r>
        <w:t xml:space="preserve">Strategic Recommendations for Continued Growth</w:t>
      </w:r>
    </w:p>
    <w:p>
      <w:pPr>
        <w:pStyle w:val="FirstParagraph"/>
      </w:pPr>
      <w:r>
        <w:t xml:space="preserve">Based on this Sales Report, Mason must accelerate three initiatives in Iran Tehran:</w:t>
      </w:r>
    </w:p>
    <w:p>
      <w:pPr>
        <w:numPr>
          <w:ilvl w:val="0"/>
          <w:numId w:val="1004"/>
        </w:numPr>
        <w:pStyle w:val="Compact"/>
      </w:pPr>
      <w:r>
        <w:rPr>
          <w:bCs/>
          <w:b/>
        </w:rPr>
        <w:t xml:space="preserve">Expand R&amp;D Collaboration:</w:t>
      </w:r>
      <w:r>
        <w:t xml:space="preserve"> </w:t>
      </w:r>
      <w:r>
        <w:t xml:space="preserve">Establish a joint innovation lab with Sharif University of Technology in Tehran to develop solutions addressing local challenges like water-scarce manufacturing—projected to unlock $8.3M in new annual revenue by 2025.</w:t>
      </w:r>
    </w:p>
    <w:p>
      <w:pPr>
        <w:numPr>
          <w:ilvl w:val="0"/>
          <w:numId w:val="1004"/>
        </w:numPr>
        <w:pStyle w:val="Compact"/>
      </w:pPr>
      <w:r>
        <w:rPr>
          <w:bCs/>
          <w:b/>
        </w:rPr>
        <w:t xml:space="preserve">Digital-First Client Engagement:</w:t>
      </w:r>
      <w:r>
        <w:t xml:space="preserve"> </w:t>
      </w:r>
      <w:r>
        <w:t xml:space="preserve">Launch "Mason Tehran Connect," a localized Salesforce platform with Farsi interface and Tehran-specific compliance checklists, targeting 90% of client interactions by Q1 2024.</w:t>
      </w:r>
    </w:p>
    <w:p>
      <w:pPr>
        <w:numPr>
          <w:ilvl w:val="0"/>
          <w:numId w:val="1004"/>
        </w:numPr>
        <w:pStyle w:val="Compact"/>
      </w:pPr>
      <w:r>
        <w:rPr>
          <w:bCs/>
          <w:b/>
        </w:rPr>
        <w:t xml:space="preserve">Sustainability Certification Push:</w:t>
      </w:r>
      <w:r>
        <w:t xml:space="preserve"> </w:t>
      </w:r>
      <w:r>
        <w:t xml:space="preserve">Pursue ISO 50001 certification for all Tehran operations by Q2 2024, aligning with Iran's new national energy efficiency law and differentiating Mason from competitors.</w:t>
      </w:r>
    </w:p>
    <w:bookmarkEnd w:id="26"/>
    <w:bookmarkStart w:id="27" w:name="X078664e7443969bd9603b4ccdd8974212afa36c"/>
    <w:p>
      <w:pPr>
        <w:pStyle w:val="Heading2"/>
      </w:pPr>
      <w:r>
        <w:t xml:space="preserve">Conclusion: Mason's Unshakeable Position in Iran Tehran</w:t>
      </w:r>
    </w:p>
    <w:p>
      <w:pPr>
        <w:pStyle w:val="FirstParagraph"/>
      </w:pPr>
      <w:r>
        <w:t xml:space="preserve">This Sales Report unequivocally confirms that Mason has not merely entered the Iran Tehran market—it has redefined it. By treating Tehran as a distinct strategic priority with tailored solutions, we've transformed from a foreign supplier into an indispensable local partner. The 22% YoY growth in Q3 isn't just a number; it's validation of our commitment to understanding and serving this critical market at every level. As Iran continues its industrial modernization journey, Mason stands positioned to capture 40%+ market share in Tehran by 2025 through continuous adaptation. The future of Mason's global success is being forged right now in the heart of Iran Tehran—and this Sales Report proves our strategy is delivering extraordinary results where it matters most.</w:t>
      </w:r>
    </w:p>
    <w:p>
      <w:pPr>
        <w:pStyle w:val="BodyText"/>
      </w:pPr>
      <w:r>
        <w:rPr>
          <w:bCs/>
          <w:b/>
        </w:rPr>
        <w:t xml:space="preserve">Prepared for: Mason Global Executive Committee</w:t>
      </w:r>
      <w:r>
        <w:br/>
      </w:r>
      <w:r>
        <w:rPr>
          <w:bCs/>
          <w:b/>
        </w:rPr>
        <w:t xml:space="preserve">Report Date:</w:t>
      </w:r>
      <w:r>
        <w:t xml:space="preserve"> </w:t>
      </w:r>
      <w:r>
        <w:t xml:space="preserve">October 26, 2023</w:t>
      </w:r>
      <w:r>
        <w:br/>
      </w:r>
      <w:r>
        <w:rPr>
          <w:bCs/>
          <w:b/>
        </w:rPr>
        <w:t xml:space="preserve">Market Focus:</w:t>
      </w:r>
      <w:r>
        <w:t xml:space="preserve"> </w:t>
      </w:r>
      <w:r>
        <w:t xml:space="preserve">Iran Tehran Industrial Solutions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 Iran Tehran Market Analysis</dc:title>
  <dc:creator/>
  <dc:language>en</dc:language>
  <cp:keywords/>
  <dcterms:created xsi:type="dcterms:W3CDTF">2026-07-20T14:02:47Z</dcterms:created>
  <dcterms:modified xsi:type="dcterms:W3CDTF">2026-07-20T14:02:47Z</dcterms:modified>
</cp:coreProperties>
</file>

<file path=docProps/custom.xml><?xml version="1.0" encoding="utf-8"?>
<Properties xmlns="http://schemas.openxmlformats.org/officeDocument/2006/custom-properties" xmlns:vt="http://schemas.openxmlformats.org/officeDocument/2006/docPropsVTypes"/>
</file>