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Performance</w:t>
      </w:r>
    </w:p>
    <w:bookmarkStart w:id="30" w:name="Xdccb34d1e8bf6acb31a022993eadac798e721cd"/>
    <w:p>
      <w:pPr>
        <w:pStyle w:val="Heading1"/>
      </w:pPr>
      <w:r>
        <w:t xml:space="preserve">Comprehensive Sales Report: Mason's Market Performance in Iraq Baghdad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Mason Global Executive Leadership Team</w:t>
      </w:r>
      <w:r>
        <w:br/>
      </w:r>
      <w:r>
        <w:rPr>
          <w:bCs/>
          <w:b/>
        </w:rPr>
        <w:t xml:space="preserve">Report Period:</w:t>
      </w:r>
      <w:r>
        <w:t xml:space="preserve"> </w:t>
      </w:r>
      <w:r>
        <w:t xml:space="preserve">January 1 - September 30, 2023</w:t>
      </w:r>
      <w:r>
        <w:br/>
      </w:r>
      <w:r>
        <w:rPr>
          <w:bCs/>
          <w:b/>
        </w:rPr>
        <w:t xml:space="preserve">Location:</w:t>
      </w:r>
      <w:r>
        <w:t xml:space="preserve"> </w:t>
      </w:r>
      <w:r>
        <w:t xml:space="preserve">Baghdad Operations Center, Iraq</w:t>
      </w:r>
    </w:p>
    <w:bookmarkStart w:id="20" w:name="i.-executive-summary"/>
    <w:p>
      <w:pPr>
        <w:pStyle w:val="Heading2"/>
      </w:pPr>
      <w:r>
        <w:t xml:space="preserve">I. Executive Summary</w:t>
      </w:r>
    </w:p>
    <w:p>
      <w:pPr>
        <w:pStyle w:val="FirstParagraph"/>
      </w:pPr>
      <w:r>
        <w:t xml:space="preserve">This Sales Report provides a detailed analysis of Mason's commercial performance across the critical Baghdad market during the first nine months of 2023. Mason, a leading provider of industrial automation solutions and engineering services, has achieved remarkable growth in Iraq's capital city despite challenging macroeconomic conditions. The Baghdad division delivered a 37% year-over-year increase in revenue ($14.8M vs $10.8M), securing Mason's position as the top-tier supplier for critical infrastructure projects across central Iraq. This success underscores Mason's strategic investment in Baghdad and our commitment to supporting Iraq's post-conflict economic transformation.</w:t>
      </w:r>
    </w:p>
    <w:bookmarkEnd w:id="20"/>
    <w:bookmarkStart w:id="21" w:name="X255e8dbbb1eb4ea46c2e30c3195a15ba154a290"/>
    <w:p>
      <w:pPr>
        <w:pStyle w:val="Heading2"/>
      </w:pPr>
      <w:r>
        <w:t xml:space="preserve">II. Key Performance Indicators (Q1-Q3 2023)</w:t>
      </w:r>
    </w:p>
    <w:p>
      <w:pPr>
        <w:pStyle w:val="FirstParagraph"/>
      </w:pPr>
      <w:r>
        <w:t xml:space="preserve">Metrics</w:t>
      </w:r>
    </w:p>
    <w:p>
      <w:pPr>
        <w:pStyle w:val="BodyText"/>
      </w:pPr>
      <w:r>
        <w:t xml:space="preserve">Q1 2023</w:t>
      </w:r>
    </w:p>
    <w:p>
      <w:pPr>
        <w:pStyle w:val="BodyText"/>
      </w:pPr>
      <w:r>
        <w:t xml:space="preserve">Q2 2023</w:t>
      </w:r>
    </w:p>
    <w:p>
      <w:pPr>
        <w:pStyle w:val="BodyText"/>
      </w:pPr>
      <w:r>
        <w:rPr>
          <w:bCs/>
          <w:b/>
        </w:rPr>
        <w:t xml:space="preserve">Q3 2023 (Projected)</w:t>
      </w:r>
    </w:p>
    <w:p>
      <w:pPr>
        <w:pStyle w:val="BodyText"/>
      </w:pPr>
      <w:r>
        <w:t xml:space="preserve">Revenue ($M)</w:t>
      </w:r>
    </w:p>
    <w:p>
      <w:pPr>
        <w:pStyle w:val="BodyText"/>
      </w:pPr>
      <w:r>
        <w:t xml:space="preserve">$4.1</w:t>
      </w:r>
    </w:p>
    <w:p>
      <w:pPr>
        <w:pStyle w:val="BodyText"/>
      </w:pPr>
      <w:r>
        <w:t xml:space="preserve">$5.0</w:t>
      </w:r>
    </w:p>
    <w:p>
      <w:pPr>
        <w:pStyle w:val="BodyText"/>
      </w:pPr>
      <w:r>
        <w:t xml:space="preserve">$5.7</w:t>
      </w:r>
    </w:p>
    <w:p>
      <w:pPr>
        <w:pStyle w:val="BodyText"/>
      </w:pPr>
      <w:r>
        <w:t xml:space="preserve">Project Volume</w:t>
      </w:r>
    </w:p>
    <w:p>
      <w:pPr>
        <w:pStyle w:val="BodyText"/>
      </w:pPr>
      <w:r>
        <w:t xml:space="preserve">18</w:t>
      </w:r>
    </w:p>
    <w:p>
      <w:pPr>
        <w:pStyle w:val="BodyText"/>
      </w:pPr>
      <w:r>
        <w:t xml:space="preserve">c 23</w:t>
      </w:r>
    </w:p>
    <w:p>
      <w:pPr>
        <w:pStyle w:val="BodyText"/>
      </w:pPr>
      <w:r>
        <w:t xml:space="preserve">29</w:t>
      </w:r>
    </w:p>
    <w:p>
      <w:pPr>
        <w:pStyle w:val="BodyText"/>
      </w:pPr>
      <w:r>
        <w:t xml:space="preserve">New Client Acquisition</w:t>
      </w:r>
    </w:p>
    <w:p>
      <w:pPr>
        <w:pStyle w:val="BodyText"/>
      </w:pPr>
      <w:r>
        <w:rPr>
          <w:bCs/>
          <w:b/>
        </w:rPr>
        <w:t xml:space="preserve">5</w:t>
      </w:r>
      <w:r>
        <w:br/>
      </w:r>
    </w:p>
    <w:p>
      <w:pPr>
        <w:pStyle w:val="BodyText"/>
      </w:pPr>
      <w:r>
        <w:t xml:space="preserve">Customer Retention Rate</w:t>
      </w:r>
    </w:p>
    <w:p>
      <w:pPr>
        <w:pStyle w:val="BodyText"/>
      </w:pPr>
      <w:r>
        <w:t xml:space="preserve">84%</w:t>
      </w:r>
    </w:p>
    <w:p>
      <w:pPr>
        <w:pStyle w:val="BodyText"/>
      </w:pPr>
      <w:r>
        <w:t xml:space="preserve">c 88%c 92% (Projected)</w:t>
      </w:r>
    </w:p>
    <w:bookmarkEnd w:id="21"/>
    <w:bookmarkStart w:id="22" w:name="X2a741f66c4b254a438ae43be237a8a643e5e855"/>
    <w:p>
      <w:pPr>
        <w:pStyle w:val="Heading2"/>
      </w:pPr>
      <w:r>
        <w:t xml:space="preserve">III. Baghdad Market Analysis: Mason's Strategic Position</w:t>
      </w:r>
    </w:p>
    <w:p>
      <w:pPr>
        <w:pStyle w:val="FirstParagraph"/>
      </w:pPr>
      <w:r>
        <w:t xml:space="preserve">Mason's success in Iraq Baghdad stems from our tailored approach to the region's unique challenges and opportunities. As the capital city serves as Iraq's economic and political hub, Mason has strategically positioned itself as the preferred partner for both government infrastructure projects and private sector industrial expansion. Key factors driving Mason's performance include:</w:t>
      </w:r>
    </w:p>
    <w:p>
      <w:pPr>
        <w:numPr>
          <w:ilvl w:val="0"/>
          <w:numId w:val="1001"/>
        </w:numPr>
        <w:pStyle w:val="Compact"/>
      </w:pPr>
      <w:r>
        <w:rPr>
          <w:bCs/>
          <w:b/>
        </w:rPr>
        <w:t xml:space="preserve">Government Partnership:</w:t>
      </w:r>
      <w:r>
        <w:t xml:space="preserve"> </w:t>
      </w:r>
      <w:r>
        <w:t xml:space="preserve">Mason secured three major contracts with the Baghdad City Council for smart grid modernization (Project Al-Rashid) and water treatment plant upgrades (Project Tigris Renewal), representing 62% of total Q3 revenue.</w:t>
      </w:r>
    </w:p>
    <w:p>
      <w:pPr>
        <w:numPr>
          <w:ilvl w:val="0"/>
          <w:numId w:val="1001"/>
        </w:numPr>
        <w:pStyle w:val="Compact"/>
      </w:pPr>
      <w:r>
        <w:rPr>
          <w:bCs/>
          <w:b/>
        </w:rPr>
        <w:t xml:space="preserve">Localized Workforce:</w:t>
      </w:r>
      <w:r>
        <w:t xml:space="preserve"> </w:t>
      </w:r>
      <w:r>
        <w:t xml:space="preserve">We've built a 127-person Baghdad-based team with 83% Iraqis, including engineers certified by the Iraqi Ministry of Industry and Minerals. This local expertise has accelerated project delivery times by 40% compared to competitors.</w:t>
      </w:r>
    </w:p>
    <w:p>
      <w:pPr>
        <w:numPr>
          <w:ilvl w:val="0"/>
          <w:numId w:val="1001"/>
        </w:numPr>
        <w:pStyle w:val="Compact"/>
      </w:pPr>
      <w:r>
        <w:rPr>
          <w:bCs/>
          <w:b/>
        </w:rPr>
        <w:t xml:space="preserve">Critical Infrastructure Focus:</w:t>
      </w:r>
      <w:r>
        <w:t xml:space="preserve"> </w:t>
      </w:r>
      <w:r>
        <w:t xml:space="preserve">Mason's specialized solutions for power distribution (56% of sales), oil/gas facility upgrades (28%), and water management systems (16%) align perfectly with Baghdad's urgent development priorities.</w:t>
      </w:r>
    </w:p>
    <w:bookmarkEnd w:id="22"/>
    <w:bookmarkStart w:id="26" w:name="X860b4a71cb2060f40524be8acf8388821e8cfe9"/>
    <w:p>
      <w:pPr>
        <w:pStyle w:val="Heading2"/>
      </w:pPr>
      <w:r>
        <w:t xml:space="preserve">IV. Major Projects Driving Sales in Baghdad</w:t>
      </w:r>
    </w:p>
    <w:p>
      <w:pPr>
        <w:pStyle w:val="FirstParagraph"/>
      </w:pPr>
      <w:r>
        <w:t xml:space="preserve">The following projects exemplify Mason's market leadership in Iraq Baghdad:</w:t>
      </w:r>
    </w:p>
    <w:bookmarkStart w:id="23" w:name="Xfe6cf7d33ba83535b4b061058c2508e74cbee3a"/>
    <w:p>
      <w:pPr>
        <w:pStyle w:val="Heading3"/>
      </w:pPr>
      <w:r>
        <w:t xml:space="preserve">A. Tigris River Water Treatment Modernization (Baghdad South)</w:t>
      </w:r>
    </w:p>
    <w:p>
      <w:pPr>
        <w:pStyle w:val="FirstParagraph"/>
      </w:pPr>
      <w:r>
        <w:t xml:space="preserve">Value: $4.2M | Completion: Q2 2023</w:t>
      </w:r>
      <w:r>
        <w:br/>
      </w:r>
      <w:r>
        <w:t xml:space="preserve">Outcome: Increased clean water capacity by 45% for 1.8M residents. Mason provided IoT-based monitoring systems and corrosion-resistant piping, reducing maintenance costs by $1.7M annually for Baghdad Water Authority.</w:t>
      </w:r>
    </w:p>
    <w:bookmarkEnd w:id="23"/>
    <w:bookmarkStart w:id="24" w:name="X38d059a719596aed1c88d47537828ecbe3e8df7"/>
    <w:p>
      <w:pPr>
        <w:pStyle w:val="Heading3"/>
      </w:pPr>
      <w:r>
        <w:t xml:space="preserve">B. Baghdad Smart Grid Expansion (Government Contract #BAG-2023-09)</w:t>
      </w:r>
    </w:p>
    <w:p>
      <w:pPr>
        <w:pStyle w:val="FirstParagraph"/>
      </w:pPr>
      <w:r>
        <w:t xml:space="preserve">Value: $5.8M | Completion: Q4 2023</w:t>
      </w:r>
      <w:r>
        <w:br/>
      </w:r>
      <w:r>
        <w:t xml:space="preserve">Outcome: Mason deployed 1,247 smart meters across central Baghdad neighborhoods, enabling real-time energy usage analytics for the Iraqi Ministry of Electricity. This project was pivotal in securing subsequent government contracts.</w:t>
      </w:r>
    </w:p>
    <w:bookmarkEnd w:id="24"/>
    <w:bookmarkStart w:id="25" w:name="X580e0d275bfd70def86662adc71bc1fa42f6623"/>
    <w:p>
      <w:pPr>
        <w:pStyle w:val="Heading3"/>
      </w:pPr>
      <w:r>
        <w:t xml:space="preserve">C. Al-Rashid Industrial Zone Power Retrofit</w:t>
      </w:r>
    </w:p>
    <w:p>
      <w:pPr>
        <w:pStyle w:val="FirstParagraph"/>
      </w:pPr>
      <w:r>
        <w:t xml:space="preserve">Value: $2.9M | Completion: Q3 2023</w:t>
      </w:r>
      <w:r>
        <w:br/>
      </w:r>
      <w:r>
        <w:t xml:space="preserve">Outcome: Mason upgraded power distribution for 47 manufacturing facilities, reducing power outages by 68% and attracting three new private sector clients to Mason's portfolio.</w:t>
      </w:r>
    </w:p>
    <w:bookmarkEnd w:id="25"/>
    <w:bookmarkEnd w:id="26"/>
    <w:bookmarkStart w:id="27" w:name="Xdbe4f7baad164e9422b1499ee33572ef2959768"/>
    <w:p>
      <w:pPr>
        <w:pStyle w:val="Heading2"/>
      </w:pPr>
      <w:r>
        <w:t xml:space="preserve">V. Market Challenges and Strategic Responses</w:t>
      </w:r>
    </w:p>
    <w:p>
      <w:pPr>
        <w:pStyle w:val="FirstParagraph"/>
      </w:pPr>
      <w:r>
        <w:t xml:space="preserve">Operating in Iraq Baghdad presents complex challenges that Mason has proactively addressed:</w:t>
      </w:r>
    </w:p>
    <w:p>
      <w:pPr>
        <w:numPr>
          <w:ilvl w:val="0"/>
          <w:numId w:val="1002"/>
        </w:numPr>
        <w:pStyle w:val="Compact"/>
      </w:pPr>
      <w:r>
        <w:rPr>
          <w:bCs/>
          <w:b/>
        </w:rPr>
        <w:t xml:space="preserve">Logistical Constraints:</w:t>
      </w:r>
      <w:r>
        <w:t xml:space="preserve"> </w:t>
      </w:r>
      <w:r>
        <w:t xml:space="preserve">We established a dedicated Baghdad warehouse with 30,000 sq. ft. capacity to eliminate 14-day import delays for critical components, improving project timelines by 27%.</w:t>
      </w:r>
    </w:p>
    <w:p>
      <w:pPr>
        <w:numPr>
          <w:ilvl w:val="0"/>
          <w:numId w:val="1002"/>
        </w:numPr>
        <w:pStyle w:val="Compact"/>
      </w:pPr>
      <w:r>
        <w:rPr>
          <w:bCs/>
          <w:b/>
        </w:rPr>
        <w:t xml:space="preserve">Currency Volatility:</w:t>
      </w:r>
      <w:r>
        <w:t xml:space="preserve"> </w:t>
      </w:r>
      <w:r>
        <w:t xml:space="preserve">Mason implemented a dynamic pricing model tied to the USD/IRR exchange rate, protecting margins during Iraq's recent currency fluctuations (15% depreciation against USD in Q2).</w:t>
      </w:r>
    </w:p>
    <w:p>
      <w:pPr>
        <w:numPr>
          <w:ilvl w:val="0"/>
          <w:numId w:val="1002"/>
        </w:numPr>
        <w:pStyle w:val="Compact"/>
      </w:pPr>
      <w:r>
        <w:rPr>
          <w:bCs/>
          <w:b/>
        </w:rPr>
        <w:t xml:space="preserve">Security Environment:</w:t>
      </w:r>
      <w:r>
        <w:t xml:space="preserve"> </w:t>
      </w:r>
      <w:r>
        <w:t xml:space="preserve">Partnering with the Baghdad Security Directorate for coordinated site access and deploying armored supply convoys reduced delivery risks by 33%.</w:t>
      </w:r>
    </w:p>
    <w:bookmarkEnd w:id="27"/>
    <w:bookmarkStart w:id="28" w:name="X910b1db4c0c5a4a4c29af9012245d05c8064c5f"/>
    <w:p>
      <w:pPr>
        <w:pStyle w:val="Heading2"/>
      </w:pPr>
      <w:r>
        <w:t xml:space="preserve">VI. Future Growth Strategy in Iraq Baghdad</w:t>
      </w:r>
    </w:p>
    <w:p>
      <w:pPr>
        <w:pStyle w:val="FirstParagraph"/>
      </w:pPr>
      <w:r>
        <w:t xml:space="preserve">Mason's roadmap for continued dominance in Baghdad includes:</w:t>
      </w:r>
    </w:p>
    <w:p>
      <w:pPr>
        <w:numPr>
          <w:ilvl w:val="0"/>
          <w:numId w:val="1003"/>
        </w:numPr>
        <w:pStyle w:val="Compact"/>
      </w:pPr>
      <w:r>
        <w:rPr>
          <w:bCs/>
          <w:b/>
        </w:rPr>
        <w:t xml:space="preserve">Advanced Analytics Division:</w:t>
      </w:r>
      <w:r>
        <w:t xml:space="preserve"> </w:t>
      </w:r>
      <w:r>
        <w:t xml:space="preserve">Launching a Baghdad-based data center to develop predictive maintenance solutions for Iraqi infrastructure, targeting $3M in new service revenue by Q1 2024.</w:t>
      </w:r>
    </w:p>
    <w:p>
      <w:pPr>
        <w:numPr>
          <w:ilvl w:val="0"/>
          <w:numId w:val="1003"/>
        </w:numPr>
        <w:pStyle w:val="Compact"/>
      </w:pPr>
      <w:r>
        <w:rPr>
          <w:bCs/>
          <w:b/>
        </w:rPr>
        <w:t xml:space="preserve">Local Partnerships:</w:t>
      </w:r>
      <w:r>
        <w:t xml:space="preserve"> </w:t>
      </w:r>
      <w:r>
        <w:t xml:space="preserve">Forming joint ventures with three leading Iraqi engineering firms (including Al-Muthanna Engineering) to access municipal procurement channels and expand service reach beyond Baghdad city limits.</w:t>
      </w:r>
    </w:p>
    <w:p>
      <w:pPr>
        <w:numPr>
          <w:ilvl w:val="0"/>
          <w:numId w:val="1003"/>
        </w:numPr>
        <w:pStyle w:val="Compact"/>
      </w:pPr>
      <w:r>
        <w:rPr>
          <w:bCs/>
          <w:b/>
        </w:rPr>
        <w:t xml:space="preserve">Sustainability Initiative:</w:t>
      </w:r>
      <w:r>
        <w:t xml:space="preserve"> </w:t>
      </w:r>
      <w:r>
        <w:t xml:space="preserve">Piloting solar microgrids for Baghdad public schools through the Mason Foundation, building community goodwill while positioning Mason as an ESG leader in Iraq's market.</w:t>
      </w:r>
    </w:p>
    <w:bookmarkEnd w:id="28"/>
    <w:bookmarkStart w:id="29" w:name="vii.-conclusion"/>
    <w:p>
      <w:pPr>
        <w:pStyle w:val="Heading2"/>
      </w:pPr>
      <w:r>
        <w:t xml:space="preserve">VII. Conclusion</w:t>
      </w:r>
    </w:p>
    <w:p>
      <w:pPr>
        <w:pStyle w:val="FirstParagraph"/>
      </w:pPr>
      <w:r>
        <w:t xml:space="preserve">The 2023 Sales Report demonstrates that Mason has successfully transformed its Baghdad operations from a regional outpost to a strategic profit center. Our revenue growth in Iraq Baghdad (37% YoY) significantly outpaces the broader Iraqi industrial market (estimated 14% growth), proving the efficacy of our localized strategy. Crucially, Mason's commitment to delivering turnkey solutions for Iraq's most critical infrastructure needs has earned us unprecedented trust with government entities and private industry leaders across Baghdad.</w:t>
      </w:r>
    </w:p>
    <w:p>
      <w:pPr>
        <w:pStyle w:val="BodyText"/>
      </w:pPr>
      <w:r>
        <w:t xml:space="preserve">As we enter Q4 2023, Mason Baghdad is well-positioned to secure contracts totaling $8.5M in new business, including the highly competitive Mosul Power Grid modernization project. This momentum reinforces our core belief that Mason's approach—blending global engineering excellence with deep cultural understanding of Iraq Baghdad—creates sustainable market leadership in one of the world's most dynamic emerging economies.</w:t>
      </w:r>
    </w:p>
    <w:p>
      <w:pPr>
        <w:pStyle w:val="BodyText"/>
      </w:pPr>
      <w:r>
        <w:rPr>
          <w:bCs/>
          <w:b/>
        </w:rPr>
        <w:t xml:space="preserve">Final Note:</w:t>
      </w:r>
      <w:r>
        <w:t xml:space="preserve"> </w:t>
      </w:r>
      <w:r>
        <w:t xml:space="preserve">Mason extends profound gratitude to our Baghdad team, government partners, and clients for their partnership in rebuilding Iraq's infrastructure. Our success in Baghdad is not merely a business achievement—it represents tangible progress toward a more resilient and prosperous Iraq.</w:t>
      </w:r>
    </w:p>
    <w:p>
      <w:r>
        <w:pict>
          <v:rect style="width:0;height:1.5pt" o:hralign="center" o:hrstd="t" o:hr="t"/>
        </w:pict>
      </w:r>
    </w:p>
    <w:p>
      <w:pPr>
        <w:pStyle w:val="FirstParagraph"/>
      </w:pPr>
      <w:r>
        <w:rPr>
          <w:iCs/>
          <w:i/>
        </w:rPr>
        <w:t xml:space="preserve">Mason Global Solutions | Building Infrastructure for Tomorrow</w:t>
      </w:r>
      <w:r>
        <w:br/>
      </w:r>
      <w:r>
        <w:t xml:space="preserve">Mason Headquarters: 123 Innovation Drive, Chicago, IL 60601</w:t>
      </w:r>
      <w:r>
        <w:br/>
      </w:r>
      <w:r>
        <w:t xml:space="preserve">Baghdad Operations: Al-Mansour Business District, Building C-7, Suite 205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Iraq Baghdad Market Performance</dc:title>
  <dc:creator/>
  <dc:language>en</dc:language>
  <cp:keywords/>
  <dcterms:created xsi:type="dcterms:W3CDTF">2026-07-23T13:20:05Z</dcterms:created>
  <dcterms:modified xsi:type="dcterms:W3CDTF">2026-07-23T13:20:05Z</dcterms:modified>
</cp:coreProperties>
</file>

<file path=docProps/custom.xml><?xml version="1.0" encoding="utf-8"?>
<Properties xmlns="http://schemas.openxmlformats.org/officeDocument/2006/custom-properties" xmlns:vt="http://schemas.openxmlformats.org/officeDocument/2006/docPropsVTypes"/>
</file>