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Performance</w:t>
      </w:r>
    </w:p>
    <w:bookmarkStart w:id="28" w:name="X843bf833904038c1e65a65c547e22ffb8944919"/>
    <w:p>
      <w:pPr>
        <w:pStyle w:val="Heading1"/>
      </w:pPr>
      <w:r>
        <w:t xml:space="preserve">Sales Report for Mason in Kazakhstan Almaty Market</w:t>
      </w:r>
    </w:p>
    <w:bookmarkStart w:id="20" w:name="executive-summary"/>
    <w:p>
      <w:pPr>
        <w:pStyle w:val="Heading2"/>
      </w:pPr>
      <w:r>
        <w:t xml:space="preserve">Executive Summary</w:t>
      </w:r>
    </w:p>
    <w:p>
      <w:pPr>
        <w:pStyle w:val="FirstParagraph"/>
      </w:pPr>
      <w:r>
        <w:t xml:space="preserve">This comprehensive Sales Report details the performance of Mason across the Kazakhstan Almaty market during Q3 2023. The report underscores Mason's strategic growth trajectory in Central Asia's premier commercial hub, where we've achieved a remarkable 37% year-over-year sales increase. As part of our global expansion initiative, Kazakhstan Almaty has emerged as a critical revenue driver, contributing 28% to Mason's total Eurasian market performance. This document provides actionable insights into our market penetration strategy, customer engagement success, and future opportunities within the dynamic Kazakhstani business landscape.</w:t>
      </w:r>
    </w:p>
    <w:bookmarkEnd w:id="20"/>
    <w:bookmarkStart w:id="21" w:name="X83418f297cb546098427c0d5738d5eaacc97d78"/>
    <w:p>
      <w:pPr>
        <w:pStyle w:val="Heading2"/>
      </w:pPr>
      <w:r>
        <w:t xml:space="preserve">Market Context: Mason in Kazakhstan Almaty</w:t>
      </w:r>
    </w:p>
    <w:p>
      <w:pPr>
        <w:pStyle w:val="FirstParagraph"/>
      </w:pPr>
      <w:r>
        <w:t xml:space="preserve">Mason's entry into Kazakhstan Almaty represents a pivotal phase of our international market diversification. Recognizing Almaty's status as the economic heart of Kazakhstan—with 40% of the nation's GDP generated within its metropolitan area—we established our Central Asian headquarters in 2021. The city's growing middle class, strategic location bridging Europe and Asia, and government initiatives supporting foreign investment created an ideal environment for Mason's premium residential construction solutions. This Sales Report demonstrates how Mason has successfully adapted to local market nuances while maintaining global quality standards.</w:t>
      </w:r>
    </w:p>
    <w:bookmarkEnd w:id="21"/>
    <w:bookmarkStart w:id="22" w:name="q3-2023-performance-highlights"/>
    <w:p>
      <w:pPr>
        <w:pStyle w:val="Heading2"/>
      </w:pPr>
      <w:r>
        <w:t xml:space="preserve">Q3 2023 Performance Highlights</w:t>
      </w:r>
    </w:p>
    <w:p>
      <w:pPr>
        <w:pStyle w:val="FirstParagraph"/>
      </w:pPr>
      <w:r>
        <w:t xml:space="preserve">Almaty sales for Mason reached $14.7M in Q3, surpassing projections by 18%. Key drivers include:</w:t>
      </w:r>
    </w:p>
    <w:p>
      <w:pPr>
        <w:numPr>
          <w:ilvl w:val="0"/>
          <w:numId w:val="1001"/>
        </w:numPr>
        <w:pStyle w:val="Compact"/>
      </w:pPr>
      <w:r>
        <w:rPr>
          <w:bCs/>
          <w:b/>
        </w:rPr>
        <w:t xml:space="preserve">Residential Segment Growth:</w:t>
      </w:r>
      <w:r>
        <w:t xml:space="preserve"> </w:t>
      </w:r>
      <w:r>
        <w:t xml:space="preserve">52% increase in high-end apartment projects (average deal size: $285K) through partnerships with Almaty's top developers like "Tengri Construction" and "Almaty Real Estate"</w:t>
      </w:r>
    </w:p>
    <w:p>
      <w:pPr>
        <w:numPr>
          <w:ilvl w:val="0"/>
          <w:numId w:val="1001"/>
        </w:numPr>
        <w:pStyle w:val="Compact"/>
      </w:pPr>
      <w:r>
        <w:rPr>
          <w:bCs/>
          <w:b/>
        </w:rPr>
        <w:t xml:space="preserve">Commercial Expansion:</w:t>
      </w:r>
      <w:r>
        <w:t xml:space="preserve"> </w:t>
      </w:r>
      <w:r>
        <w:t xml:space="preserve">Secured three major contracts for mixed-use complexes including the new "Mason Tower" at Central Business District (CBD), representing $4.2M in committed revenue</w:t>
      </w:r>
    </w:p>
    <w:p>
      <w:pPr>
        <w:numPr>
          <w:ilvl w:val="0"/>
          <w:numId w:val="1001"/>
        </w:numPr>
        <w:pStyle w:val="Compact"/>
      </w:pPr>
      <w:r>
        <w:rPr>
          <w:bCs/>
          <w:b/>
        </w:rPr>
        <w:t xml:space="preserve">Digital Transformation:</w:t>
      </w:r>
      <w:r>
        <w:t xml:space="preserve"> </w:t>
      </w:r>
      <w:r>
        <w:t xml:space="preserve">65% of Almaty clients now engage through Mason's localized Kazakh-language mobile platform, reducing sales cycle time by 33%</w:t>
      </w:r>
    </w:p>
    <w:p>
      <w:pPr>
        <w:pStyle w:val="FirstParagraph"/>
      </w:pPr>
      <w:r>
        <w:t xml:space="preserve">"Mason's success in Kazakhstan Almaty stems from our commitment to understanding local architectural preferences and regulatory frameworks—this Sales Report confirms that cultural adaptation is non-negotiable for market dominance."</w:t>
      </w:r>
    </w:p>
    <w:bookmarkEnd w:id="22"/>
    <w:bookmarkStart w:id="23" w:name="customer-acquisition-strategy"/>
    <w:p>
      <w:pPr>
        <w:pStyle w:val="Heading2"/>
      </w:pPr>
      <w:r>
        <w:t xml:space="preserve">Customer Acquisition Strategy</w:t>
      </w:r>
    </w:p>
    <w:p>
      <w:pPr>
        <w:pStyle w:val="FirstParagraph"/>
      </w:pPr>
      <w:r>
        <w:t xml:space="preserve">Mason implemented a hyper-localized approach in Kazakhstan Almaty that has redefined customer acquisition. Our team conducted 147 market-specific workshops with Almaty property developers, incorporating Kazakhstani construction standards and aesthetic preferences into our product designs. The introduction of "Mason KZ"—a customizable housing solution featuring traditional Kazakh motifs in modern architecture—resonated strongly with local buyers. This strategy generated a 41% conversion rate from initial consultations to signed contracts, significantly outperforming regional averages.</w:t>
      </w:r>
    </w:p>
    <w:p>
      <w:pPr>
        <w:pStyle w:val="BodyText"/>
      </w:pPr>
      <w:r>
        <w:t xml:space="preserve">Key partnership developments included:</w:t>
      </w:r>
    </w:p>
    <w:p>
      <w:pPr>
        <w:numPr>
          <w:ilvl w:val="0"/>
          <w:numId w:val="1002"/>
        </w:numPr>
        <w:pStyle w:val="Compact"/>
      </w:pPr>
      <w:r>
        <w:t xml:space="preserve">Collaboration with Almaty City Administration for the "Green Homes Initiative," qualifying Mason projects for tax incentives</w:t>
      </w:r>
    </w:p>
    <w:p>
      <w:pPr>
        <w:numPr>
          <w:ilvl w:val="0"/>
          <w:numId w:val="1002"/>
        </w:numPr>
        <w:pStyle w:val="Compact"/>
      </w:pPr>
      <w:r>
        <w:t xml:space="preserve">Integration with Kazakhstan's national digital ID system (e-Visa) streamlining contract signing processes</w:t>
      </w:r>
    </w:p>
    <w:bookmarkEnd w:id="23"/>
    <w:bookmarkStart w:id="24" w:name="X4871c26947c7ee6cdb6b9fd39f9b64bf745f999"/>
    <w:p>
      <w:pPr>
        <w:pStyle w:val="Heading2"/>
      </w:pPr>
      <w:r>
        <w:t xml:space="preserve">Challenges and Strategic Responses in Kazakhstan Almaty</w:t>
      </w:r>
    </w:p>
    <w:p>
      <w:pPr>
        <w:pStyle w:val="FirstParagraph"/>
      </w:pPr>
      <w:r>
        <w:t xml:space="preserve">The Almaty market presented unique obstacles that we've systematically addressed:</w:t>
      </w:r>
    </w:p>
    <w:p>
      <w:pPr>
        <w:numPr>
          <w:ilvl w:val="0"/>
          <w:numId w:val="1003"/>
        </w:numPr>
        <w:pStyle w:val="Compact"/>
      </w:pPr>
      <w:r>
        <w:rPr>
          <w:bCs/>
          <w:b/>
        </w:rPr>
        <w:t xml:space="preserve">Regulatory Complexity:</w:t>
      </w:r>
      <w:r>
        <w:t xml:space="preserve"> </w:t>
      </w:r>
      <w:r>
        <w:t xml:space="preserve">Navigating Kazakhstan's 2023 construction code amendments required Mason to establish a dedicated legal task force in Almaty. This resulted in zero compliance-related project delays during Q3.</w:t>
      </w:r>
    </w:p>
    <w:p>
      <w:pPr>
        <w:numPr>
          <w:ilvl w:val="0"/>
          <w:numId w:val="1003"/>
        </w:numPr>
        <w:pStyle w:val="Compact"/>
      </w:pPr>
      <w:r>
        <w:rPr>
          <w:bCs/>
          <w:b/>
        </w:rPr>
        <w:t xml:space="preserve">Currency Volatility:</w:t>
      </w:r>
      <w:r>
        <w:t xml:space="preserve"> </w:t>
      </w:r>
      <w:r>
        <w:t xml:space="preserve">Implemented dynamic pricing models tied to the KZT/USD exchange rate, protecting client budgets while maintaining 12% gross margins.</w:t>
      </w:r>
    </w:p>
    <w:p>
      <w:pPr>
        <w:pStyle w:val="FirstParagraph"/>
      </w:pPr>
      <w:r>
        <w:t xml:space="preserve">"Our Kazakhstan Almaty team transformed regulatory challenges into competitive advantages—this Sales Report demonstrates how proactive adaptation fuels growth in emerging markets."</w:t>
      </w:r>
    </w:p>
    <w:bookmarkEnd w:id="24"/>
    <w:bookmarkStart w:id="25" w:name="X82700627b1e8561295f38749395b18db3ea190e"/>
    <w:p>
      <w:pPr>
        <w:pStyle w:val="Heading2"/>
      </w:pPr>
      <w:r>
        <w:t xml:space="preserve">Market Analysis: Why Mason Thrives in Almaty</w:t>
      </w:r>
    </w:p>
    <w:p>
      <w:pPr>
        <w:pStyle w:val="FirstParagraph"/>
      </w:pPr>
      <w:r>
        <w:t xml:space="preserve">Kazakhstan Almaty offers exceptional growth potential due to:</w:t>
      </w:r>
    </w:p>
    <w:p>
      <w:pPr>
        <w:numPr>
          <w:ilvl w:val="0"/>
          <w:numId w:val="1004"/>
        </w:numPr>
        <w:pStyle w:val="Compact"/>
      </w:pPr>
      <w:r>
        <w:rPr>
          <w:bCs/>
          <w:b/>
        </w:rPr>
        <w:t xml:space="preserve">Urbanization Acceleration:</w:t>
      </w:r>
      <w:r>
        <w:t xml:space="preserve"> </w:t>
      </w:r>
      <w:r>
        <w:t xml:space="preserve">9% annual population growth in Almaty driving residential demand (World Bank, 2023)</w:t>
      </w:r>
    </w:p>
    <w:p>
      <w:pPr>
        <w:numPr>
          <w:ilvl w:val="0"/>
          <w:numId w:val="1004"/>
        </w:numPr>
        <w:pStyle w:val="Compact"/>
      </w:pPr>
      <w:r>
        <w:rPr>
          <w:bCs/>
          <w:b/>
        </w:rPr>
        <w:t xml:space="preserve">Government Priorities:</w:t>
      </w:r>
      <w:r>
        <w:t xml:space="preserve"> </w:t>
      </w:r>
      <w:r>
        <w:t xml:space="preserve">"Almaty 2030" master plan investing $18B in urban infrastructure</w:t>
      </w:r>
    </w:p>
    <w:p>
      <w:pPr>
        <w:numPr>
          <w:ilvl w:val="0"/>
          <w:numId w:val="1004"/>
        </w:numPr>
        <w:pStyle w:val="Compact"/>
      </w:pPr>
      <w:r>
        <w:rPr>
          <w:bCs/>
          <w:b/>
        </w:rPr>
        <w:t xml:space="preserve">Cultural Alignment:</w:t>
      </w:r>
      <w:r>
        <w:t xml:space="preserve"> </w:t>
      </w:r>
      <w:r>
        <w:t xml:space="preserve">Mason's emphasis on family-oriented living spaces matches Kazakhstani social values</w:t>
      </w:r>
    </w:p>
    <w:p>
      <w:pPr>
        <w:pStyle w:val="FirstParagraph"/>
      </w:pPr>
      <w:r>
        <w:t xml:space="preserve">This Sales Report identifies Almaty as our most profitable market outside Europe, with 62% customer retention rate compared to industry average of 45%. The city's position as a gateway for Central Asian markets further amplifies Mason's strategic value.</w:t>
      </w:r>
    </w:p>
    <w:bookmarkEnd w:id="25"/>
    <w:bookmarkStart w:id="26" w:name="Xd0541111931ad0d2a7618adf944e8ecfc6bee0b"/>
    <w:p>
      <w:pPr>
        <w:pStyle w:val="Heading2"/>
      </w:pPr>
      <w:r>
        <w:t xml:space="preserve">Future Strategy for Kazakhstan Almaty Growth</w:t>
      </w:r>
    </w:p>
    <w:p>
      <w:pPr>
        <w:pStyle w:val="FirstParagraph"/>
      </w:pPr>
      <w:r>
        <w:t xml:space="preserve">Building on Q3 success, Mason will implement these priority initiatives in Kazakhstan Almaty:</w:t>
      </w:r>
    </w:p>
    <w:p>
      <w:pPr>
        <w:numPr>
          <w:ilvl w:val="0"/>
          <w:numId w:val="1005"/>
        </w:numPr>
        <w:pStyle w:val="Compact"/>
      </w:pPr>
      <w:r>
        <w:rPr>
          <w:bCs/>
          <w:b/>
        </w:rPr>
        <w:t xml:space="preserve">Masonry Academy:</w:t>
      </w:r>
      <w:r>
        <w:t xml:space="preserve"> </w:t>
      </w:r>
      <w:r>
        <w:t xml:space="preserve">Launching local vocational training program with 150+ Kazakhstani construction professionals certified by Q3 2024</w:t>
      </w:r>
    </w:p>
    <w:p>
      <w:pPr>
        <w:numPr>
          <w:ilvl w:val="0"/>
          <w:numId w:val="1005"/>
        </w:numPr>
        <w:pStyle w:val="Compact"/>
      </w:pPr>
      <w:r>
        <w:rPr>
          <w:bCs/>
          <w:b/>
        </w:rPr>
        <w:t xml:space="preserve">Almaty Sustainability Hub:</w:t>
      </w:r>
      <w:r>
        <w:t xml:space="preserve"> </w:t>
      </w:r>
      <w:r>
        <w:t xml:space="preserve">Establishing first regional eco-center for green building materials, targeting 20% reduction in project carbon footprint</w:t>
      </w:r>
    </w:p>
    <w:p>
      <w:pPr>
        <w:numPr>
          <w:ilvl w:val="0"/>
          <w:numId w:val="1005"/>
        </w:numPr>
        <w:pStyle w:val="Compact"/>
      </w:pPr>
      <w:r>
        <w:rPr>
          <w:bCs/>
          <w:b/>
        </w:rPr>
        <w:t xml:space="preserve">KZ Local Sourcing:</w:t>
      </w:r>
      <w:r>
        <w:t xml:space="preserve"> </w:t>
      </w:r>
      <w:r>
        <w:t xml:space="preserve">Increasing local material procurement from 35% to 65% by end-2024, strengthening community investment</w:t>
      </w:r>
    </w:p>
    <w:p>
      <w:pPr>
        <w:pStyle w:val="FirstParagraph"/>
      </w:pPr>
      <w:r>
        <w:t xml:space="preserve">Our forecast projects $18.9M in Almaty sales for Q4 2023, with particular focus on the emerging "Balkhash Corridor" development zone—a strategic expansion beyond traditional city limits.</w:t>
      </w:r>
    </w:p>
    <w:bookmarkEnd w:id="26"/>
    <w:bookmarkStart w:id="27" w:name="conclusion"/>
    <w:p>
      <w:pPr>
        <w:pStyle w:val="Heading2"/>
      </w:pPr>
      <w:r>
        <w:t xml:space="preserve">Conclusion</w:t>
      </w:r>
    </w:p>
    <w:p>
      <w:pPr>
        <w:pStyle w:val="FirstParagraph"/>
      </w:pPr>
      <w:r>
        <w:t xml:space="preserve">This Sales Report confirms that Mason has established an unassailable position in Kazakhstan Almaty through culturally intelligent execution and data-driven strategy. The market's 37% YoY growth demonstrates our successful adaptation to Central Asian business dynamics. As we scale operations, Mason will continue prioritizing deep community integration—recognizing that sustainable success in Kazakhstan Almaty requires more than commercial transactions; it demands genuine partnership with the city's future.</w:t>
      </w:r>
    </w:p>
    <w:p>
      <w:pPr>
        <w:pStyle w:val="BodyText"/>
      </w:pPr>
      <w:r>
        <w:t xml:space="preserve">Looking ahead, Mason's Kazakhstan Almaty division will serve as the blueprint for our entire Eurasian expansion. The metrics presented herein prove that when global innovation meets local insight—a core tenet of Mason's philosophy—the results transcend standard sales targets to create lasting market leadership.</w:t>
      </w:r>
    </w:p>
    <w:bookmarkEnd w:id="27"/>
    <w:p>
      <w:pPr>
        <w:pStyle w:val="BodyText"/>
      </w:pPr>
      <w:r>
        <w:t xml:space="preserve">Prepared by Mason Global Sales Strategy Division | Confidential for Internal Use Only | Report Date: October 15,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Kazakhstan Almaty Market Performance</dc:title>
  <dc:creator/>
  <dc:language>en</dc:language>
  <cp:keywords/>
  <dcterms:created xsi:type="dcterms:W3CDTF">2025-12-11T17:27:01Z</dcterms:created>
  <dcterms:modified xsi:type="dcterms:W3CDTF">2025-12-11T17:27:01Z</dcterms:modified>
</cp:coreProperties>
</file>

<file path=docProps/custom.xml><?xml version="1.0" encoding="utf-8"?>
<Properties xmlns="http://schemas.openxmlformats.org/officeDocument/2006/custom-properties" xmlns:vt="http://schemas.openxmlformats.org/officeDocument/2006/docPropsVTypes"/>
</file>