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Performance</w:t>
      </w:r>
    </w:p>
    <w:bookmarkStart w:id="28" w:name="Xb0dde8d2149fb469a57066c3e603fb0204aab6a"/>
    <w:p>
      <w:pPr>
        <w:pStyle w:val="Heading1"/>
      </w:pPr>
      <w:r>
        <w:t xml:space="preserve">Mason Sales Report – Malaysia Kuala Lumpur Market Performance (Q3 2023)</w:t>
      </w:r>
    </w:p>
    <w:p>
      <w:pPr>
        <w:pStyle w:val="FirstParagraph"/>
      </w:pPr>
      <w:r>
        <w:t xml:space="preserve">Prepared for Mason Leadership &amp; Stakeholders | Date: October 26, 2023</w:t>
      </w:r>
    </w:p>
    <w:bookmarkStart w:id="20" w:name="executive-summary"/>
    <w:p>
      <w:pPr>
        <w:pStyle w:val="Heading2"/>
      </w:pPr>
      <w:r>
        <w:t xml:space="preserve">Executive Summary</w:t>
      </w:r>
    </w:p>
    <w:p>
      <w:pPr>
        <w:pStyle w:val="FirstParagraph"/>
      </w:pPr>
      <w:r>
        <w:t xml:space="preserve">This comprehensive Sales Report details the performance of Mason, our premium home furnishings brand, across the dynamic Malaysia Kuala Lumpur market during Q3 2023. The report underscores exceptional growth trajectory, strategic market penetration, and actionable insights for sustained success in one of Southeast Asia’s most competitive retail landscapes. Mason has solidified its position as a leader in luxury home decor within Malaysia Kuala Lumpur, achieving a remarkable</w:t>
      </w:r>
      <w:r>
        <w:t xml:space="preserve"> </w:t>
      </w:r>
      <w:r>
        <w:rPr>
          <w:bCs/>
          <w:b/>
        </w:rPr>
        <w:t xml:space="preserve">25% year-over-year revenue increase</w:t>
      </w:r>
      <w:r>
        <w:t xml:space="preserve"> </w:t>
      </w:r>
      <w:r>
        <w:t xml:space="preserve">and capturing 18% market share in the premium segment. This performance validates our localized approach to serving Malaysian consumers while maintaining Mason’s global brand ethos.</w:t>
      </w:r>
    </w:p>
    <w:bookmarkEnd w:id="20"/>
    <w:bookmarkStart w:id="21" w:name="X68c199315e638c66551bb2a32066cc558d63cfa"/>
    <w:p>
      <w:pPr>
        <w:pStyle w:val="Heading2"/>
      </w:pPr>
      <w:r>
        <w:t xml:space="preserve">Market Context: Malaysia Kuala Lumpur as a Strategic Hub</w:t>
      </w:r>
    </w:p>
    <w:p>
      <w:pPr>
        <w:pStyle w:val="FirstParagraph"/>
      </w:pPr>
      <w:r>
        <w:t xml:space="preserve">The Malaysia Kuala Lumpur retail ecosystem presents unique opportunities and challenges. As the economic heart of Malaysia, KL drives 40% of national retail expenditure, with affluent neighborhoods like Bangsar, Bukit Bintang, and Damansara catering to high-net-worth individuals seeking curated home experiences. Mason entered this market in 2021 with a tailored strategy: blending Scandinavian minimalism with Malaysian aesthetics (e.g., batik-inspired textiles, tropical wood accents). This cultural fusion resonated immediately, positioning Mason as the</w:t>
      </w:r>
      <w:r>
        <w:t xml:space="preserve"> </w:t>
      </w:r>
      <w:r>
        <w:rPr>
          <w:iCs/>
          <w:i/>
        </w:rPr>
        <w:t xml:space="preserve">go-to brand</w:t>
      </w:r>
      <w:r>
        <w:t xml:space="preserve"> </w:t>
      </w:r>
      <w:r>
        <w:t xml:space="preserve">for modern Malaysian households. The Q3 report confirms KL remains our strongest market within Malaysia, contributing 68% of total regional revenue.</w:t>
      </w:r>
    </w:p>
    <w:bookmarkEnd w:id="21"/>
    <w:bookmarkStart w:id="22" w:name="q3-sales-performance-highlights"/>
    <w:p>
      <w:pPr>
        <w:pStyle w:val="Heading2"/>
      </w:pPr>
      <w:r>
        <w:t xml:space="preserve">Q3 Sales Performance Highlights</w:t>
      </w:r>
    </w:p>
    <w:p>
      <w:pPr>
        <w:pStyle w:val="FirstParagraph"/>
      </w:pPr>
      <w:r>
        <w:t xml:space="preserve">Key Metric</w:t>
      </w:r>
    </w:p>
    <w:p>
      <w:pPr>
        <w:pStyle w:val="BodyText"/>
      </w:pPr>
      <w:r>
        <w:t xml:space="preserve">Q3 2023 (RM)</w:t>
      </w:r>
    </w:p>
    <w:p>
      <w:pPr>
        <w:pStyle w:val="BodyText"/>
      </w:pPr>
      <w:r>
        <w:t xml:space="preserve">Q3 2022 (RM)</w:t>
      </w:r>
    </w:p>
    <w:p>
      <w:pPr>
        <w:pStyle w:val="BodyText"/>
      </w:pPr>
      <w:r>
        <w:t xml:space="preserve">YoY Change</w:t>
      </w:r>
    </w:p>
    <w:p>
      <w:pPr>
        <w:pStyle w:val="BodyText"/>
      </w:pPr>
      <w:r>
        <w:t xml:space="preserve">Total Revenue</w:t>
      </w:r>
    </w:p>
    <w:p>
      <w:pPr>
        <w:pStyle w:val="BodyText"/>
      </w:pPr>
      <w:r>
        <w:t xml:space="preserve">4,200,000</w:t>
      </w:r>
    </w:p>
    <w:p>
      <w:pPr>
        <w:pStyle w:val="BodyText"/>
      </w:pPr>
      <w:r>
        <w:t xml:space="preserve">3,360,000</w:t>
      </w:r>
    </w:p>
    <w:p>
      <w:pPr>
        <w:pStyle w:val="BodyText"/>
      </w:pPr>
      <w:r>
        <w:t xml:space="preserve">+25.1%</w:t>
      </w:r>
    </w:p>
    <w:p>
      <w:pPr>
        <w:pStyle w:val="BodyText"/>
      </w:pPr>
      <w:r>
        <w:t xml:space="preserve">New Customer Acquisition</w:t>
      </w:r>
    </w:p>
    <w:p>
      <w:pPr>
        <w:pStyle w:val="BodyText"/>
      </w:pPr>
      <w:r>
        <w:t xml:space="preserve">&lt;</w:t>
      </w:r>
    </w:p>
    <w:p>
      <w:pPr>
        <w:pStyle w:val="BodyText"/>
      </w:pPr>
      <w:r>
        <w:t xml:space="preserve">897</w:t>
      </w:r>
    </w:p>
    <w:p>
      <w:pPr>
        <w:pStyle w:val="BodyText"/>
      </w:pPr>
      <w:r>
        <w:t xml:space="preserve">(495)</w:t>
      </w:r>
    </w:p>
    <w:p>
      <w:pPr>
        <w:pStyle w:val="BodyText"/>
      </w:pPr>
      <w:r>
        <w:t xml:space="preserve">Revenue from Digital Channels (Mason KL App/Website)</w:t>
      </w:r>
    </w:p>
    <w:p>
      <w:pPr>
        <w:pStyle w:val="BodyText"/>
      </w:pPr>
      <w:r>
        <w:t xml:space="preserve">1,620,000</w:t>
      </w:r>
    </w:p>
    <w:p>
      <w:pPr>
        <w:pStyle w:val="BodyText"/>
      </w:pPr>
      <w:r>
        <w:t xml:space="preserve">1,125,000</w:t>
      </w:r>
    </w:p>
    <w:p>
      <w:pPr>
        <w:pStyle w:val="BodyText"/>
      </w:pPr>
      <w:r>
        <w:t xml:space="preserve">+43.9%</w:t>
      </w:r>
    </w:p>
    <w:p>
      <w:pPr>
        <w:pStyle w:val="BodyText"/>
      </w:pPr>
      <w:r>
        <w:t xml:space="preserve">Average Transaction Value (ATV)</w:t>
      </w:r>
    </w:p>
    <w:p>
      <w:pPr>
        <w:pStyle w:val="BodyText"/>
      </w:pPr>
      <w:r>
        <w:t xml:space="preserve">RM 852</w:t>
      </w:r>
    </w:p>
    <w:p>
      <w:pPr>
        <w:pStyle w:val="BodyText"/>
      </w:pPr>
      <w:r>
        <w:t xml:space="preserve">Rm 765</w:t>
      </w:r>
    </w:p>
    <w:p>
      <w:pPr>
        <w:pStyle w:val="BodyText"/>
      </w:pPr>
      <w:r>
        <w:t xml:space="preserve">Mason’s Q3 results in Malaysia Kuala Lumpur were fueled by three pivotal drivers: the launch of our "KL Heritage Collection" (featuring Malaysian artisan collaborations), seamless omnichannel integration (click-and-collect at Pavilion KL and Suria KLCC), and targeted social media campaigns leveraging popular KL influencers like @KualaLumpurStyle. The digital channel surge reflects Mason’s successful adaptation to Malaysia’s tech-savvy consumer base, where 72% of our new customers first engaged via mobile.</w:t>
      </w:r>
    </w:p>
    <w:bookmarkEnd w:id="22"/>
    <w:bookmarkStart w:id="23" w:name="X5fa1c3a4fa49ccec42269061ea4cbea64daec18"/>
    <w:p>
      <w:pPr>
        <w:pStyle w:val="Heading2"/>
      </w:pPr>
      <w:r>
        <w:t xml:space="preserve">Strategic Initiatives Driving Success in Malaysia Kuala Lumpur</w:t>
      </w:r>
    </w:p>
    <w:p>
      <w:pPr>
        <w:pStyle w:val="FirstParagraph"/>
      </w:pPr>
      <w:r>
        <w:t xml:space="preserve">Our success in the Malaysia Kuala Lumpur market stems from hyper-localized strategies:</w:t>
      </w:r>
    </w:p>
    <w:p>
      <w:pPr>
        <w:numPr>
          <w:ilvl w:val="0"/>
          <w:numId w:val="1001"/>
        </w:numPr>
        <w:pStyle w:val="Compact"/>
      </w:pPr>
      <w:r>
        <w:rPr>
          <w:bCs/>
          <w:b/>
        </w:rPr>
        <w:t xml:space="preserve">Cultural Product Integration:</w:t>
      </w:r>
      <w:r>
        <w:t xml:space="preserve"> </w:t>
      </w:r>
      <w:r>
        <w:t xml:space="preserve">Mason’s "Tropical Modern" line (e.g., rattan furniture with Malay motifs) sold out in KL within 48 hours of launch. This resonated with local pride during Malaysia’s National Day celebrations, driving a 30% sales spike in late August.</w:t>
      </w:r>
    </w:p>
    <w:p>
      <w:pPr>
        <w:numPr>
          <w:ilvl w:val="0"/>
          <w:numId w:val="1001"/>
        </w:numPr>
        <w:pStyle w:val="Compact"/>
      </w:pPr>
      <w:r>
        <w:rPr>
          <w:bCs/>
          <w:b/>
        </w:rPr>
        <w:t xml:space="preserve">KL-Specific Retail Partnerships:</w:t>
      </w:r>
      <w:r>
        <w:t xml:space="preserve"> </w:t>
      </w:r>
      <w:r>
        <w:t xml:space="preserve">Strategic collaborations with KL luxury hotels (e.g., The St. Regis, Mandarin Oriental) as exclusive retail partners expanded Mason’s reach into high-traffic hospitality spaces where Malaysian elites and expats congregate.</w:t>
      </w:r>
    </w:p>
    <w:p>
      <w:pPr>
        <w:numPr>
          <w:ilvl w:val="0"/>
          <w:numId w:val="1001"/>
        </w:numPr>
        <w:pStyle w:val="Compact"/>
      </w:pPr>
      <w:r>
        <w:rPr>
          <w:bCs/>
          <w:b/>
        </w:rPr>
        <w:t xml:space="preserve">Logistics Optimization for Kuala Lumpur Traffic:</w:t>
      </w:r>
      <w:r>
        <w:t xml:space="preserve"> </w:t>
      </w:r>
      <w:r>
        <w:t xml:space="preserve">Partnering with local last-mile delivery specialist "GoGet KL" reduced delivery times from 48 to 12 hours in urban zones, addressing a critical pain point for KL shoppers.</w:t>
      </w:r>
    </w:p>
    <w:bookmarkEnd w:id="23"/>
    <w:bookmarkStart w:id="24" w:name="Xee1d9dd1fec205bcee8cee9edca1bd8320779df"/>
    <w:p>
      <w:pPr>
        <w:pStyle w:val="Heading2"/>
      </w:pPr>
      <w:r>
        <w:t xml:space="preserve">Challenges &amp; Mitigation in Malaysia Kuala Lumpur</w:t>
      </w:r>
    </w:p>
    <w:p>
      <w:pPr>
        <w:pStyle w:val="FirstParagraph"/>
      </w:pPr>
      <w:r>
        <w:t xml:space="preserve">Operating within the complex Malaysia Kuala Lumpur environment presented hurdles. Monsoon season (September) disrupted supply chains, causing a 10% inventory shortfall for high-demand items. Mason’s response – deploying a dedicated KL logistics hub with buffer stock – minimized revenue loss to just 3%. Additionally, we observed rising competition from local brands offering "cheaper" alternatives. To counter this, Mason intensified its premium value messaging via in-store experiences at our flagship KL showroom (located in The Exchange TRX), where customers can co-design pieces using Malaysian materials.</w:t>
      </w:r>
    </w:p>
    <w:bookmarkEnd w:id="24"/>
    <w:bookmarkStart w:id="25" w:name="consumer-insights-what-malaysians-want"/>
    <w:p>
      <w:pPr>
        <w:pStyle w:val="Heading2"/>
      </w:pPr>
      <w:r>
        <w:t xml:space="preserve">Consumer Insights: What Malaysians Want</w:t>
      </w:r>
    </w:p>
    <w:p>
      <w:pPr>
        <w:pStyle w:val="FirstParagraph"/>
      </w:pPr>
      <w:r>
        <w:t xml:space="preserve">Customer feedback from Malaysia Kuala Lumpur reveals key trends shaping Mason’s future:</w:t>
      </w:r>
    </w:p>
    <w:p>
      <w:pPr>
        <w:pStyle w:val="BlockText"/>
      </w:pPr>
      <w:r>
        <w:rPr>
          <w:iCs/>
          <w:i/>
        </w:rPr>
        <w:t xml:space="preserve">"I chose Mason for its authentic blend of global design and respect for Malaysian craftsmanship. The sofa with my grandmother's batik pattern? That’s the heart of Malaysia Kuala Lumpur."</w:t>
      </w:r>
      <w:r>
        <w:t xml:space="preserve"> </w:t>
      </w:r>
      <w:r>
        <w:t xml:space="preserve">– Aisha Rahman, Bukit Bintang resident (Mason Luxury Member since 2022)</w:t>
      </w:r>
    </w:p>
    <w:p>
      <w:pPr>
        <w:pStyle w:val="FirstParagraph"/>
      </w:pPr>
      <w:r>
        <w:t xml:space="preserve">Over 85% of KL customers cited "cultural relevance" as their top purchase driver. This insight will guide Mason’s upcoming Q4 strategy: launching a co-branded line with Perak artisan collectives, targeting KL’s burgeoning luxury home market.</w:t>
      </w:r>
    </w:p>
    <w:bookmarkEnd w:id="25"/>
    <w:bookmarkStart w:id="26" w:name="X98c7b0b1ea167db6a5a566a9d20316b1a89fb78"/>
    <w:p>
      <w:pPr>
        <w:pStyle w:val="Heading2"/>
      </w:pPr>
      <w:r>
        <w:t xml:space="preserve">Future Strategy for Malaysia Kuala Lumpur</w:t>
      </w:r>
    </w:p>
    <w:p>
      <w:pPr>
        <w:pStyle w:val="FirstParagraph"/>
      </w:pPr>
      <w:r>
        <w:t xml:space="preserve">Mason is poised to deepen its leadership in the Malaysia Kuala Lumpur market through:</w:t>
      </w:r>
    </w:p>
    <w:p>
      <w:pPr>
        <w:numPr>
          <w:ilvl w:val="0"/>
          <w:numId w:val="1002"/>
        </w:numPr>
        <w:pStyle w:val="Compact"/>
      </w:pPr>
      <w:r>
        <w:rPr>
          <w:bCs/>
          <w:b/>
        </w:rPr>
        <w:t xml:space="preserve">Expanding KL Showroom Footprint:</w:t>
      </w:r>
      <w:r>
        <w:t xml:space="preserve"> </w:t>
      </w:r>
      <w:r>
        <w:t xml:space="preserve">Opening a second experiential space in Bangsar this Q4, focusing on large-scale home installations for luxury residential projects.</w:t>
      </w:r>
    </w:p>
    <w:p>
      <w:pPr>
        <w:numPr>
          <w:ilvl w:val="0"/>
          <w:numId w:val="1002"/>
        </w:numPr>
        <w:pStyle w:val="Compact"/>
      </w:pPr>
      <w:r>
        <w:rPr>
          <w:bCs/>
          <w:b/>
        </w:rPr>
        <w:t xml:space="preserve">Mason Loyalty Program (KL Exclusive):</w:t>
      </w:r>
      <w:r>
        <w:t xml:space="preserve"> </w:t>
      </w:r>
      <w:r>
        <w:t xml:space="preserve">Launching "Mason KL Circle" with rewards for local events (e.g., discounts at KL Home &amp; Garden Fair, free design consultations).</w:t>
      </w:r>
    </w:p>
    <w:p>
      <w:pPr>
        <w:numPr>
          <w:ilvl w:val="0"/>
          <w:numId w:val="1002"/>
        </w:numPr>
        <w:pStyle w:val="Compact"/>
      </w:pPr>
      <w:r>
        <w:rPr>
          <w:bCs/>
          <w:b/>
        </w:rPr>
        <w:t xml:space="preserve">Sustainability Commitment:</w:t>
      </w:r>
      <w:r>
        <w:t xml:space="preserve"> </w:t>
      </w:r>
      <w:r>
        <w:t xml:space="preserve">Sourcing 75% of materials from Malaysian suppliers by Q2 2024, aligning with KL’s Green City initiative and resonating with eco-conscious consumers.</w:t>
      </w:r>
    </w:p>
    <w:bookmarkEnd w:id="26"/>
    <w:bookmarkStart w:id="27" w:name="conclusion"/>
    <w:p>
      <w:pPr>
        <w:pStyle w:val="Heading2"/>
      </w:pPr>
      <w:r>
        <w:t xml:space="preserve">Conclusion</w:t>
      </w:r>
    </w:p>
    <w:p>
      <w:pPr>
        <w:pStyle w:val="FirstParagraph"/>
      </w:pPr>
      <w:r>
        <w:t xml:space="preserve">The Mason Sales Report for Malaysia Kuala Lumpur unequivocally demonstrates our brand’s successful adaptation to a sophisticated, culturally rich market. By embedding Mason’s global quality within local Malaysian context—especially in the vibrant city of Kuala Lumpur—we’ve not only achieved commercial success but also built meaningful community connections. The Q3 performance (RM 4.2 million revenue, 25% YoY growth) confirms that Mason is no longer just a player in Malaysia Kuala Lumpur; it’s defining the future of premium home design here. As we move into Q4, our focus remains on deepening this relationship through innovation rooted in Malaysian identity. The journey continues—Mason is growing with Malaysia Kuala Lumpur, for Malaysia Kuala Lumpur.</w:t>
      </w:r>
    </w:p>
    <w:p>
      <w:pPr>
        <w:pStyle w:val="BodyText"/>
      </w:pPr>
      <w:r>
        <w:t xml:space="preserve">Mason Sales Report © 2023 | Mason Home Collective – Designing Spaces That Belong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Malaysia Kuala Lumpur Market Performance</dc:title>
  <dc:creator/>
  <cp:keywords/>
  <dcterms:created xsi:type="dcterms:W3CDTF">2026-07-21T14:50:37Z</dcterms:created>
  <dcterms:modified xsi:type="dcterms:W3CDTF">2026-07-21T14:50:37Z</dcterms:modified>
</cp:coreProperties>
</file>

<file path=docProps/custom.xml><?xml version="1.0" encoding="utf-8"?>
<Properties xmlns="http://schemas.openxmlformats.org/officeDocument/2006/custom-properties" xmlns:vt="http://schemas.openxmlformats.org/officeDocument/2006/docPropsVTypes"/>
</file>