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Company</w:t>
      </w:r>
      <w:r>
        <w:t xml:space="preserve"> </w:t>
      </w:r>
      <w:r>
        <w:t xml:space="preserve">Mexico</w:t>
      </w:r>
      <w:r>
        <w:t xml:space="preserve"> </w:t>
      </w:r>
      <w:r>
        <w:t xml:space="preserve">City</w:t>
      </w:r>
      <w:r>
        <w:t xml:space="preserve"> </w:t>
      </w:r>
      <w:r>
        <w:t xml:space="preserve">Sales</w:t>
      </w:r>
      <w:r>
        <w:t xml:space="preserve"> </w:t>
      </w:r>
      <w:r>
        <w:t xml:space="preserve">Report</w:t>
      </w:r>
    </w:p>
    <w:bookmarkStart w:id="27" w:name="Xe4e4384eec0a4d96bb088ff34e73f0c4ef20679"/>
    <w:p>
      <w:pPr>
        <w:pStyle w:val="Heading1"/>
      </w:pPr>
      <w:r>
        <w:t xml:space="preserve">Mason Company Mexico City Sales Report: Q3 2023 Performance Analysis</w:t>
      </w:r>
    </w:p>
    <w:p>
      <w:pPr>
        <w:pStyle w:val="FirstParagraph"/>
      </w:pPr>
      <w:r>
        <w:rPr>
          <w:bCs/>
          <w:b/>
        </w:rPr>
        <w:t xml:space="preserve">Prepared For:</w:t>
      </w:r>
      <w:r>
        <w:t xml:space="preserve"> </w:t>
      </w:r>
      <w:r>
        <w:t xml:space="preserve">Mason Global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Mason Company's performance in the dynamic Mexico City market during Q3 2023. As a leading provider of premium home furnishings and smart home solutions in Latin America, Mason has achieved remarkable growth within Mexico City's competitive luxury sector. The report confirms that our strategic focus on local market adaptation combined with product innovation has driven a 27% year-over-year sales increase, significantly outpacing regional industry averages. Mexico City remains Mason's most valuable single-market operation in Central America, contributing 38% of all Latin American revenue streams.</w:t>
      </w:r>
    </w:p>
    <w:bookmarkEnd w:id="20"/>
    <w:bookmarkStart w:id="21" w:name="ii.-q3-sales-performance-highlights"/>
    <w:p>
      <w:pPr>
        <w:pStyle w:val="Heading2"/>
      </w:pPr>
      <w:r>
        <w:t xml:space="preserve">II. Q3 Sales Performance Highlights</w:t>
      </w:r>
    </w:p>
    <w:p>
      <w:pPr>
        <w:pStyle w:val="FirstParagraph"/>
      </w:pPr>
      <w:r>
        <w:t xml:space="preserve">Our Mexico City operations delivered exceptional results with total sales reaching $14.8 million USD during Q3, a substantial increase from $11.7 million in the same period last year. Key drivers included:</w:t>
      </w:r>
    </w:p>
    <w:p>
      <w:pPr>
        <w:numPr>
          <w:ilvl w:val="0"/>
          <w:numId w:val="1001"/>
        </w:numPr>
        <w:pStyle w:val="Compact"/>
      </w:pPr>
      <w:r>
        <w:rPr>
          <w:bCs/>
          <w:b/>
        </w:rPr>
        <w:t xml:space="preserve">Residential Product Line Surge:</w:t>
      </w:r>
      <w:r>
        <w:t xml:space="preserve"> </w:t>
      </w:r>
      <w:r>
        <w:t xml:space="preserve">Premium smart home systems achieved 42% growth, fueled by Mexico City's rising demand for energy-efficient home technologies following recent government sustainability incentives.</w:t>
      </w:r>
    </w:p>
    <w:p>
      <w:pPr>
        <w:numPr>
          <w:ilvl w:val="0"/>
          <w:numId w:val="1001"/>
        </w:numPr>
        <w:pStyle w:val="Compact"/>
      </w:pPr>
      <w:r>
        <w:rPr>
          <w:bCs/>
          <w:b/>
        </w:rPr>
        <w:t xml:space="preserve">High-End Furniture Category:</w:t>
      </w:r>
      <w:r>
        <w:t xml:space="preserve"> </w:t>
      </w:r>
      <w:r>
        <w:t xml:space="preserve">The "Mason Sol" luxury collection generated $3.2 million in sales, representing 21% of total revenue and a 35% increase over Q2. This success was driven by targeted partnerships with Mexico City's elite real estate developers like TDM Group and Grupo Financiero Banamex.</w:t>
      </w:r>
    </w:p>
    <w:p>
      <w:pPr>
        <w:numPr>
          <w:ilvl w:val="0"/>
          <w:numId w:val="1001"/>
        </w:numPr>
        <w:pStyle w:val="Compact"/>
      </w:pPr>
      <w:r>
        <w:rPr>
          <w:bCs/>
          <w:b/>
        </w:rPr>
        <w:t xml:space="preserve">Commercial Division Growth:</w:t>
      </w:r>
      <w:r>
        <w:t xml:space="preserve"> </w:t>
      </w:r>
      <w:r>
        <w:t xml:space="preserve">Corporate accounts in Mexico City (including major banking institutions and multinational headquarters) contributed $4.1 million, a 29% quarterly increase due to our new "Smart Office Solutions" package.</w:t>
      </w:r>
    </w:p>
    <w:bookmarkEnd w:id="21"/>
    <w:bookmarkStart w:id="22" w:name="iii.-mexico-city-market-analysis"/>
    <w:p>
      <w:pPr>
        <w:pStyle w:val="Heading2"/>
      </w:pPr>
      <w:r>
        <w:t xml:space="preserve">III. Mexico City Market Analysis</w:t>
      </w:r>
    </w:p>
    <w:p>
      <w:pPr>
        <w:pStyle w:val="FirstParagraph"/>
      </w:pPr>
      <w:r>
        <w:t xml:space="preserve">Mexico City's unique economic landscape continues to present both challenges and opportunities for Mason operations. As the largest metropolitan economy in Latin America with over 21 million inhabitants, Mexico City demonstrates exceptional market potential but requires nuanced business approaches:</w:t>
      </w:r>
    </w:p>
    <w:p>
      <w:pPr>
        <w:numPr>
          <w:ilvl w:val="0"/>
          <w:numId w:val="1002"/>
        </w:numPr>
        <w:pStyle w:val="Compact"/>
      </w:pPr>
      <w:r>
        <w:rPr>
          <w:bCs/>
          <w:b/>
        </w:rPr>
        <w:t xml:space="preserve">Demographic Advantage:</w:t>
      </w:r>
      <w:r>
        <w:t xml:space="preserve"> </w:t>
      </w:r>
      <w:r>
        <w:t xml:space="preserve">The city's growing affluent population (38% increase in high-net-worth individuals since 2020) aligns perfectly with Mason's premium positioning. Our Mexico City stores reported 65% higher foot traffic from residents earning over $150,000 annually compared to the national average.</w:t>
      </w:r>
    </w:p>
    <w:p>
      <w:pPr>
        <w:numPr>
          <w:ilvl w:val="0"/>
          <w:numId w:val="1002"/>
        </w:numPr>
        <w:pStyle w:val="Compact"/>
      </w:pPr>
      <w:r>
        <w:rPr>
          <w:bCs/>
          <w:b/>
        </w:rPr>
        <w:t xml:space="preserve">Competitive Landscape:</w:t>
      </w:r>
      <w:r>
        <w:t xml:space="preserve"> </w:t>
      </w:r>
      <w:r>
        <w:t xml:space="preserve">While facing competition from European importers and domestic brands, Mason's localized approach has created a distinct advantage. Our Mexico City team implemented culturally resonant marketing campaigns featuring local artists in store displays, directly contributing to our 18% higher customer satisfaction scores than competitors.</w:t>
      </w:r>
    </w:p>
    <w:p>
      <w:pPr>
        <w:numPr>
          <w:ilvl w:val="0"/>
          <w:numId w:val="1002"/>
        </w:numPr>
        <w:pStyle w:val="Compact"/>
      </w:pPr>
      <w:r>
        <w:rPr>
          <w:bCs/>
          <w:b/>
        </w:rPr>
        <w:t xml:space="preserve">Economic Factors:</w:t>
      </w:r>
      <w:r>
        <w:t xml:space="preserve"> </w:t>
      </w:r>
      <w:r>
        <w:t xml:space="preserve">Despite Mexico's 3.2% inflation rate in Q3, Mason maintained pricing stability through strategic supplier partnerships within Mexico City's industrial corridors (particularly at the Santa Fe Business Park), avoiding the price hikes common among foreign competitors.</w:t>
      </w:r>
    </w:p>
    <w:bookmarkEnd w:id="22"/>
    <w:bookmarkStart w:id="23" w:name="iv.-challenges-and-strategic-adaptations"/>
    <w:p>
      <w:pPr>
        <w:pStyle w:val="Heading2"/>
      </w:pPr>
      <w:r>
        <w:t xml:space="preserve">IV. Challenges and Strategic Adaptations</w:t>
      </w:r>
    </w:p>
    <w:p>
      <w:pPr>
        <w:pStyle w:val="FirstParagraph"/>
      </w:pPr>
      <w:r>
        <w:t xml:space="preserve">The Mexico City market presented several operational challenges that required immediate attention:</w:t>
      </w:r>
    </w:p>
    <w:p>
      <w:pPr>
        <w:numPr>
          <w:ilvl w:val="0"/>
          <w:numId w:val="1003"/>
        </w:numPr>
        <w:pStyle w:val="Compact"/>
      </w:pPr>
      <w:r>
        <w:rPr>
          <w:bCs/>
          <w:b/>
        </w:rPr>
        <w:t xml:space="preserve">Logistics Complexity:</w:t>
      </w:r>
      <w:r>
        <w:t xml:space="preserve"> </w:t>
      </w:r>
      <w:r>
        <w:t xml:space="preserve">Mexico City's notorious traffic patterns initially disrupted our just-in-time delivery model. Mason implemented a dedicated logistics hub in Iztapalapa with 20+ local drivers, reducing delivery times by 40% and cutting last-mile costs by $187,000 quarterly.</w:t>
      </w:r>
    </w:p>
    <w:p>
      <w:pPr>
        <w:numPr>
          <w:ilvl w:val="0"/>
          <w:numId w:val="1003"/>
        </w:numPr>
        <w:pStyle w:val="Compact"/>
      </w:pPr>
      <w:r>
        <w:rPr>
          <w:bCs/>
          <w:b/>
        </w:rPr>
        <w:t xml:space="preserve">Cultural Nuances:</w:t>
      </w:r>
      <w:r>
        <w:t xml:space="preserve"> </w:t>
      </w:r>
      <w:r>
        <w:t xml:space="preserve">Early marketing campaigns failed to resonate when using generic imagery. The Mexico City team developed culturally specific content featuring iconic locations like Chapultepec Park and Frida Kahlo-inspired designs for the "Mason Azteca" collection, boosting social media engagement by 220%.</w:t>
      </w:r>
    </w:p>
    <w:p>
      <w:pPr>
        <w:numPr>
          <w:ilvl w:val="0"/>
          <w:numId w:val="1003"/>
        </w:numPr>
        <w:pStyle w:val="Compact"/>
      </w:pPr>
      <w:r>
        <w:rPr>
          <w:bCs/>
          <w:b/>
        </w:rPr>
        <w:t xml:space="preserve">Talent Acquisition:</w:t>
      </w:r>
      <w:r>
        <w:t xml:space="preserve"> </w:t>
      </w:r>
      <w:r>
        <w:t xml:space="preserve">We faced difficulty hiring specialized sales staff familiar with Mexico City's luxury market. Mason established a partnership with Universidad Iberoamericana in Mexico City, creating an exclusive training program that now supplies 35% of our local sales force.</w:t>
      </w:r>
    </w:p>
    <w:bookmarkEnd w:id="23"/>
    <w:bookmarkStart w:id="24" w:name="X1535dda6fe999556c568f0dad980e588f4cb7c2"/>
    <w:p>
      <w:pPr>
        <w:pStyle w:val="Heading2"/>
      </w:pPr>
      <w:r>
        <w:t xml:space="preserve">V. Future Growth Opportunities in Mexico City</w:t>
      </w:r>
    </w:p>
    <w:p>
      <w:pPr>
        <w:pStyle w:val="FirstParagraph"/>
      </w:pPr>
      <w:r>
        <w:t xml:space="preserve">Based on Q3 performance data, Mason is positioned to capitalize on three critical growth vectors within Mexico City:</w:t>
      </w:r>
    </w:p>
    <w:p>
      <w:pPr>
        <w:numPr>
          <w:ilvl w:val="0"/>
          <w:numId w:val="1004"/>
        </w:numPr>
        <w:pStyle w:val="Compact"/>
      </w:pPr>
      <w:r>
        <w:rPr>
          <w:bCs/>
          <w:b/>
        </w:rPr>
        <w:t xml:space="preserve">Expanding the Smart Home Ecosystem:</w:t>
      </w:r>
      <w:r>
        <w:t xml:space="preserve"> </w:t>
      </w:r>
      <w:r>
        <w:t xml:space="preserve">Partnering with CFE (Federal Electricity Commission) to offer integrated energy-saving packages through Mason stores in Mexico City. Initial pilot programs show 73% customer adoption for combined smart lighting and energy monitoring solutions.</w:t>
      </w:r>
    </w:p>
    <w:p>
      <w:pPr>
        <w:numPr>
          <w:ilvl w:val="0"/>
          <w:numId w:val="1004"/>
        </w:numPr>
        <w:pStyle w:val="Compact"/>
      </w:pPr>
      <w:r>
        <w:rPr>
          <w:bCs/>
          <w:b/>
        </w:rPr>
        <w:t xml:space="preserve">Sustainability-Driven Expansion:</w:t>
      </w:r>
      <w:r>
        <w:t xml:space="preserve"> </w:t>
      </w:r>
      <w:r>
        <w:t xml:space="preserve">Launching a dedicated "Mason Green" line using locally sourced materials (e.g., recycled teak from Veracruz) specifically designed for Mexico City's environmentally conscious consumers. Early market research indicates 68% purchase intent among target demographic.</w:t>
      </w:r>
    </w:p>
    <w:p>
      <w:pPr>
        <w:numPr>
          <w:ilvl w:val="0"/>
          <w:numId w:val="1004"/>
        </w:numPr>
        <w:pStyle w:val="Compact"/>
      </w:pPr>
      <w:r>
        <w:rPr>
          <w:bCs/>
          <w:b/>
        </w:rPr>
        <w:t xml:space="preserve">Neighborhood Store Concept:</w:t>
      </w:r>
      <w:r>
        <w:t xml:space="preserve"> </w:t>
      </w:r>
      <w:r>
        <w:t xml:space="preserve">Developing smaller, high-traffic concept stores in affluent neighborhoods like Polanco and Lomas de Chapultepec. These 1,200 sq ft locations will offer personalized design consultations with local interior designers, expected to increase conversion rates by 35% based on pilot testing.</w:t>
      </w:r>
    </w:p>
    <w:bookmarkEnd w:id="24"/>
    <w:bookmarkStart w:id="25" w:name="X562d47213ab7bf67835d37fa2077eab1710be32"/>
    <w:p>
      <w:pPr>
        <w:pStyle w:val="Heading2"/>
      </w:pPr>
      <w:r>
        <w:t xml:space="preserve">VI. Recommendations for Mexico City Operations</w:t>
      </w:r>
    </w:p>
    <w:p>
      <w:pPr>
        <w:pStyle w:val="FirstParagraph"/>
      </w:pPr>
      <w:r>
        <w:t xml:space="preserve">To sustain and accelerate our momentum in this critical market, the following actions are recommended:</w:t>
      </w:r>
    </w:p>
    <w:p>
      <w:pPr>
        <w:numPr>
          <w:ilvl w:val="0"/>
          <w:numId w:val="1005"/>
        </w:numPr>
        <w:pStyle w:val="Compact"/>
      </w:pPr>
      <w:r>
        <w:rPr>
          <w:bCs/>
          <w:b/>
        </w:rPr>
        <w:t xml:space="preserve">Double Down on Localization:</w:t>
      </w:r>
      <w:r>
        <w:t xml:space="preserve"> </w:t>
      </w:r>
      <w:r>
        <w:t xml:space="preserve">Allocate 15% of Q4 marketing budget to Mexico City-exclusive campaigns featuring local cultural icons, moving beyond generic regional promotions.</w:t>
      </w:r>
    </w:p>
    <w:p>
      <w:pPr>
        <w:numPr>
          <w:ilvl w:val="0"/>
          <w:numId w:val="1005"/>
        </w:numPr>
        <w:pStyle w:val="Compact"/>
      </w:pPr>
      <w:r>
        <w:rPr>
          <w:bCs/>
          <w:b/>
        </w:rPr>
        <w:t xml:space="preserve">Expand Commercial Partnerships:</w:t>
      </w:r>
      <w:r>
        <w:t xml:space="preserve"> </w:t>
      </w:r>
      <w:r>
        <w:t xml:space="preserve">Target Mexico City's new corporate headquarters projects (e.g., the $2 billion "Torre Granjas" development) with customized Mason Smart Office solutions.</w:t>
      </w:r>
    </w:p>
    <w:p>
      <w:pPr>
        <w:numPr>
          <w:ilvl w:val="0"/>
          <w:numId w:val="1005"/>
        </w:numPr>
        <w:pStyle w:val="Compact"/>
      </w:pPr>
      <w:r>
        <w:rPr>
          <w:bCs/>
          <w:b/>
        </w:rPr>
        <w:t xml:space="preserve">Launch Customer Loyalty Program:</w:t>
      </w:r>
      <w:r>
        <w:t xml:space="preserve"> </w:t>
      </w:r>
      <w:r>
        <w:t xml:space="preserve">Implement "Mason Mexico City Circle" offering priority access to exclusive furniture launches and personalized design services for top-tier customers, projected to increase repeat business by 28%.</w:t>
      </w:r>
    </w:p>
    <w:bookmarkEnd w:id="25"/>
    <w:bookmarkStart w:id="26" w:name="vii.-conclusion"/>
    <w:p>
      <w:pPr>
        <w:pStyle w:val="Heading2"/>
      </w:pPr>
      <w:r>
        <w:t xml:space="preserve">VII. Conclusion</w:t>
      </w:r>
    </w:p>
    <w:p>
      <w:pPr>
        <w:pStyle w:val="FirstParagraph"/>
      </w:pPr>
      <w:r>
        <w:t xml:space="preserve">The Q3 Sales Report confirms that Mason Company has established an unshakable position in Mexico City's premium home market. Our localized strategy—combining cultural intelligence with operational excellence—has transformed Mexico City from a standard market into Mason's flagship operation in Latin America. The $14.8 million Q3 sales figure represents not just revenue growth, but a validation of our long-term commitment to the Mexican market.</w:t>
      </w:r>
    </w:p>
    <w:p>
      <w:pPr>
        <w:pStyle w:val="BodyText"/>
      </w:pPr>
      <w:r>
        <w:t xml:space="preserve">As we enter the holiday season, Mason's Mexico City team is poised for record-breaking performance with 32 new store appointments planned across high-demand neighborhoods and an expanded digital storefront optimized for Mexico City's mobile-first consumer base. This Sales Report underscores that when global brands invest in authentic local partnerships—like our work with Mexico City-based artists, developers, and educational institutions—the results transcend mere sales figures to build lasting market leadership.</w:t>
      </w:r>
    </w:p>
    <w:p>
      <w:pPr>
        <w:pStyle w:val="BodyText"/>
      </w:pPr>
      <w:r>
        <w:t xml:space="preserve">With Mexico City now representing 38% of Mason's total Latin American revenue and growing at double the regional average, we recommend maintaining all current strategies while accelerating investment in this vital market. The success achieved through this Sales Report is not merely a quarterly achievement—it's the foundation for Mason's sustained dominance across Central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Company Mexico City Sales Report</dc:title>
  <dc:creator/>
  <dc:language>en</dc:language>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