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019f74f6f82fc3d45a5f6e01779a6d7b665af82"/>
    <w:p>
      <w:pPr>
        <w:pStyle w:val="Heading1"/>
      </w:pPr>
      <w:r>
        <w:t xml:space="preserve">Comprehensive Sales Report: Mason's Performance in Morocco Casablanca</w:t>
      </w:r>
    </w:p>
    <w:bookmarkStart w:id="20" w:name="executive-summary"/>
    <w:p>
      <w:pPr>
        <w:pStyle w:val="Heading2"/>
      </w:pPr>
      <w:r>
        <w:t xml:space="preserve">Executive Summary</w:t>
      </w:r>
    </w:p>
    <w:p>
      <w:pPr>
        <w:pStyle w:val="FirstParagraph"/>
      </w:pPr>
      <w:r>
        <w:t xml:space="preserve">This official Sales Report details Mason's strategic market performance across Morocco Casablanca during Q3 2023. As the premier distributor of premium home appliances in North Africa, Mason has achieved remarkable growth within the Casablanca metropolitan region, solidifying its position as a market leader. This report analyzes sales metrics, regional challenges, consumer behavior insights, and future growth opportunities specifically tailored to Morocco Casablanca's dynamic commercial landscape.</w:t>
      </w:r>
    </w:p>
    <w:bookmarkEnd w:id="20"/>
    <w:bookmarkStart w:id="21" w:name="X99afd1ac319d398ba5f0c03d82ea1320625b529"/>
    <w:p>
      <w:pPr>
        <w:pStyle w:val="Heading2"/>
      </w:pPr>
      <w:r>
        <w:t xml:space="preserve">Market Context: Morocco Casablanca Commercial Landscape</w:t>
      </w:r>
    </w:p>
    <w:p>
      <w:pPr>
        <w:pStyle w:val="FirstParagraph"/>
      </w:pPr>
      <w:r>
        <w:t xml:space="preserve">Casablanca remains the economic engine of Morocco, contributing 30% of national GDP and housing 40% of the country's industrial capacity. As Africa's largest port city and financial hub, Morocco Casablanca presents unique opportunities for premium consumer goods. Mason has strategically focused on this market since 2019, recognizing its high purchasing power (average household disposable income: $3,200 annually) and growing demand for quality home appliances. The Sales Report confirms that Casablanca accounts for 65% of Mason's total Morocco revenue, underscoring its strategic importance to our Pan-African operations.</w:t>
      </w:r>
    </w:p>
    <w:bookmarkEnd w:id="21"/>
    <w:bookmarkStart w:id="22" w:name="q3-2023-sales-performance-highlights"/>
    <w:p>
      <w:pPr>
        <w:pStyle w:val="Heading2"/>
      </w:pPr>
      <w:r>
        <w:t xml:space="preserve">Q3 2023 Sales Performance Highlights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(MAD)</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Kitchen Appliances</w:t>
            </w:r>
          </w:p>
        </w:tc>
        <w:tc>
          <w:tcPr/>
          <w:p>
            <w:pPr>
              <w:pStyle w:val="Compact"/>
              <w:jc w:val="left"/>
            </w:pPr>
            <w:r>
              <w:t xml:space="preserve">18.7M</w:t>
            </w:r>
          </w:p>
        </w:tc>
        <w:tc>
          <w:tcPr/>
          <w:p>
            <w:pPr>
              <w:pStyle w:val="Compact"/>
              <w:jc w:val="left"/>
            </w:pPr>
            <w:r>
              <w:t xml:space="preserve">+24.7%</w:t>
            </w:r>
          </w:p>
        </w:tc>
        <w:tc>
          <w:tcPr/>
          <w:p>
            <w:pPr>
              <w:pStyle w:val="Compact"/>
              <w:jc w:val="left"/>
            </w:pPr>
            <w:r>
              <w:t xml:space="preserve">38.2%</w:t>
            </w:r>
          </w:p>
        </w:tc>
      </w:tr>
      <w:tr>
        <w:tc>
          <w:tcPr/>
          <w:p>
            <w:pPr>
              <w:pStyle w:val="Compact"/>
              <w:jc w:val="left"/>
            </w:pPr>
            <w:r>
              <w:t xml:space="preserve">Climate Control</w:t>
            </w:r>
          </w:p>
        </w:tc>
        <w:tc>
          <w:tcPr/>
          <w:p>
            <w:pPr>
              <w:pStyle w:val="Compact"/>
              <w:jc w:val="left"/>
            </w:pPr>
            <w:r>
              <w:t xml:space="preserve">12.4M</w:t>
            </w:r>
          </w:p>
        </w:tc>
        <w:tc>
          <w:tcPr/>
          <w:p>
            <w:pPr>
              <w:pStyle w:val="Compact"/>
              <w:jc w:val="left"/>
            </w:pPr>
            <w:r>
              <w:t xml:space="preserve">+31.5%</w:t>
            </w:r>
          </w:p>
        </w:tc>
        <w:tc>
          <w:tcPr/>
          <w:p>
            <w:pPr>
              <w:pStyle w:val="Compact"/>
              <w:jc w:val="left"/>
            </w:pPr>
            <w:r>
              <w:t xml:space="preserve">41.6%</w:t>
            </w:r>
          </w:p>
        </w:tc>
      </w:tr>
      <w:tr>
        <w:tc>
          <w:tcPr/>
          <w:p>
            <w:pPr>
              <w:pStyle w:val="Compact"/>
              <w:jc w:val="left"/>
            </w:pPr>
            <w:r>
              <w:t xml:space="preserve">Audible Systems</w:t>
            </w:r>
          </w:p>
        </w:tc>
        <w:tc>
          <w:tcPr/>
          <w:p>
            <w:pPr>
              <w:pStyle w:val="Compact"/>
              <w:jc w:val="left"/>
            </w:pPr>
            <w:r>
              <w:t xml:space="preserve">9.8M</w:t>
            </w:r>
          </w:p>
          <w:tbl>
            <w:tblPr>
              <w:tblStyle w:val="Table"/>
              <w:tblW w:type="auto" w:w="0"/>
              <w:tblLook w:firstRow="0" w:lastRow="0" w:firstColumn="0" w:lastColumn="0" w:noHBand="0" w:noVBand="0" w:val="0000"/>
            </w:tblPr>
            <w:tblGrid>
              <w:gridCol w:w="7920"/>
            </w:tblGrid>
            <w:tr>
              <w:tc>
                <w:tcPr/>
                <w:p>
                  <w:pPr>
                    <w:pStyle w:val="Compact"/>
                    <w:jc w:val="left"/>
                    <w:jc w:val="left"/>
                  </w:pPr>
                  <w:r>
                    <w:t xml:space="preserve">*Excluding Casablanca's contribution</w:t>
                  </w:r>
                </w:p>
              </w:tc>
            </w:tr>
          </w:tbl>
          <w:p/>
        </w:tc>
        <w:tc>
          <w:tcPr/>
          <w:p>
            <w:pPr>
              <w:jc w:val="left"/>
            </w:pPr>
            <w:r>
              <w:t xml:space="preserve">+18.9%</w:t>
            </w:r>
          </w:p>
        </w:tc>
        <w:tc>
          <w:tcPr/>
          <w:p>
            <w:pPr>
              <w:jc w:val="left"/>
            </w:pPr>
            <w:r>
              <w:t xml:space="preserve">29.3%</w:t>
            </w:r>
          </w:p>
        </w:tc>
      </w:tr>
    </w:tbl>
    <w:p>
      <w:pPr>
        <w:pStyle w:val="BodyText"/>
      </w:pPr>
      <w:r>
        <w:t xml:space="preserve">The Sales Report reveals Mason achieved MAD 40.9M in total revenue from Morocco Casablanca during Q3 2023, exceeding target by 17%. Notable breakthroughs include:</w:t>
      </w:r>
    </w:p>
    <w:p>
      <w:pPr>
        <w:numPr>
          <w:ilvl w:val="0"/>
          <w:numId w:val="1001"/>
        </w:numPr>
        <w:pStyle w:val="Compact"/>
      </w:pPr>
      <w:r>
        <w:t xml:space="preserve">Record-breaking sales of Mason's "Maroc" series kitchen appliances (47% market share) driven by Ramadan and Eid promotions</w:t>
      </w:r>
    </w:p>
    <w:p>
      <w:pPr>
        <w:numPr>
          <w:ilvl w:val="0"/>
          <w:numId w:val="1001"/>
        </w:numPr>
        <w:pStyle w:val="Compact"/>
      </w:pPr>
      <w:r>
        <w:t xml:space="preserve">Climate control division growth fueled by Casablanca's extreme summer temperatures (average 35°C+)</w:t>
      </w:r>
    </w:p>
    <w:p>
      <w:pPr>
        <w:numPr>
          <w:ilvl w:val="0"/>
          <w:numId w:val="1001"/>
        </w:numPr>
        <w:pStyle w:val="Compact"/>
      </w:pPr>
      <w:r>
        <w:t xml:space="preserve">Expansion into 12 new retail partnerships across Casablanca's affluent neighborhoods (Hassan, Sidi Maarouf)</w:t>
      </w:r>
    </w:p>
    <w:bookmarkEnd w:id="22"/>
    <w:bookmarkStart w:id="23" w:name="Xcc98c0ff9080d2d4acc1c068e668e6169e4e920"/>
    <w:p>
      <w:pPr>
        <w:pStyle w:val="Heading2"/>
      </w:pPr>
      <w:r>
        <w:t xml:space="preserve">Consumer Behavior Insights: Morocco Casablanca</w:t>
      </w:r>
    </w:p>
    <w:p>
      <w:pPr>
        <w:pStyle w:val="FirstParagraph"/>
      </w:pPr>
      <w:r>
        <w:t xml:space="preserve">Data from our Morocco Casablanca market survey (n=1,850 consumers) indicates three critical trends:</w:t>
      </w:r>
    </w:p>
    <w:p>
      <w:pPr>
        <w:numPr>
          <w:ilvl w:val="0"/>
          <w:numId w:val="1002"/>
        </w:numPr>
        <w:pStyle w:val="Compact"/>
      </w:pPr>
      <w:r>
        <w:rPr>
          <w:bCs/>
          <w:b/>
        </w:rPr>
        <w:t xml:space="preserve">Premiumization Trend</w:t>
      </w:r>
      <w:r>
        <w:t xml:space="preserve">: 68% of respondents in Casablanca now prioritize quality over price for home appliances, directly aligning with Mason's premium positioning. The Sales Report notes a 22% increase in sales of Mason's "Elite" product line.</w:t>
      </w:r>
    </w:p>
    <w:p>
      <w:pPr>
        <w:numPr>
          <w:ilvl w:val="0"/>
          <w:numId w:val="1002"/>
        </w:numPr>
        <w:pStyle w:val="Compact"/>
      </w:pPr>
      <w:r>
        <w:rPr>
          <w:bCs/>
          <w:b/>
        </w:rPr>
        <w:t xml:space="preserve">Urbanization Impact</w:t>
      </w:r>
      <w:r>
        <w:t xml:space="preserve">: Casablanca's rapid urban migration (3.8% annual growth) drives demand for compact, energy-efficient appliances. Mason's new 40L Smart Fridge model captured 29% of the high-end compact segment in Morocco Casablanca.</w:t>
      </w:r>
    </w:p>
    <w:p>
      <w:pPr>
        <w:numPr>
          <w:ilvl w:val="0"/>
          <w:numId w:val="1002"/>
        </w:numPr>
        <w:pStyle w:val="Compact"/>
      </w:pPr>
      <w:r>
        <w:rPr>
          <w:bCs/>
          <w:b/>
        </w:rPr>
        <w:t xml:space="preserve">Seasonal Purchasing Patterns</w:t>
      </w:r>
      <w:r>
        <w:t xml:space="preserve">: Sales spike during "Aid al-Adha" (Eid) and summer months. The Sales Report identifies July as Mason's strongest month in Casablanca with 27% higher sales than average, prompting strategic inventory management.</w:t>
      </w:r>
    </w:p>
    <w:bookmarkEnd w:id="23"/>
    <w:bookmarkStart w:id="24" w:name="strategic-initiatives-driving-success"/>
    <w:p>
      <w:pPr>
        <w:pStyle w:val="Heading2"/>
      </w:pPr>
      <w:r>
        <w:t xml:space="preserve">Strategic Initiatives Driving Success</w:t>
      </w:r>
    </w:p>
    <w:p>
      <w:pPr>
        <w:pStyle w:val="FirstParagraph"/>
      </w:pPr>
      <w:r>
        <w:t xml:space="preserve">Mason's success in Morocco Casablanca stems from localized strategies developed through our Casablanca-based market team:</w:t>
      </w:r>
    </w:p>
    <w:p>
      <w:pPr>
        <w:numPr>
          <w:ilvl w:val="0"/>
          <w:numId w:val="1003"/>
        </w:numPr>
        <w:pStyle w:val="Compact"/>
      </w:pPr>
      <w:r>
        <w:rPr>
          <w:bCs/>
          <w:b/>
        </w:rPr>
        <w:t xml:space="preserve">Casablanca Experience Centers</w:t>
      </w:r>
      <w:r>
        <w:t xml:space="preserve">: Opening three flagship stores in Gare du Nord, Anfa Place, and Marina Mall provided immersive brand experiences. These centers increased average transaction value by 34% compared to traditional retail.</w:t>
      </w:r>
    </w:p>
    <w:p>
      <w:pPr>
        <w:numPr>
          <w:ilvl w:val="0"/>
          <w:numId w:val="1003"/>
        </w:numPr>
        <w:pStyle w:val="Compact"/>
      </w:pPr>
      <w:r>
        <w:rPr>
          <w:bCs/>
          <w:b/>
        </w:rPr>
        <w:t xml:space="preserve">Partnership with Moroccan Logistics</w:t>
      </w:r>
      <w:r>
        <w:t xml:space="preserve">: Collaborating with Maroc Express for same-day delivery across Casablanca reduced last-mile costs by 22%, critical for high-margin appliance sales in this dense urban market.</w:t>
      </w:r>
    </w:p>
    <w:p>
      <w:pPr>
        <w:numPr>
          <w:ilvl w:val="0"/>
          <w:numId w:val="1003"/>
        </w:numPr>
        <w:pStyle w:val="Compact"/>
      </w:pPr>
      <w:r>
        <w:rPr>
          <w:bCs/>
          <w:b/>
        </w:rPr>
        <w:t xml:space="preserve">Cultural Marketing Integration</w:t>
      </w:r>
      <w:r>
        <w:t xml:space="preserve">: Campaigns featuring local celebrities like actress Amina Rami during Ramadan promotions drove 53% more foot traffic at Mason stores in Morocco Casablanca.</w:t>
      </w:r>
    </w:p>
    <w:bookmarkEnd w:id="24"/>
    <w:bookmarkStart w:id="25" w:name="Xb984397cc7d5d89451caad30c65fabd0383c40e"/>
    <w:p>
      <w:pPr>
        <w:pStyle w:val="Heading2"/>
      </w:pPr>
      <w:r>
        <w:t xml:space="preserve">Challenges and Solutions in Morocco Casablanca</w:t>
      </w:r>
    </w:p>
    <w:p>
      <w:pPr>
        <w:pStyle w:val="FirstParagraph"/>
      </w:pPr>
      <w:r>
        <w:t xml:space="preserve">The Sales Report identifies two persistent challenges with our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Mason's Solution</w:t>
            </w:r>
          </w:p>
        </w:tc>
      </w:tr>
      <w:tr>
        <w:tc>
          <w:tcPr/>
          <w:p>
            <w:pPr>
              <w:pStyle w:val="Compact"/>
              <w:jc w:val="left"/>
            </w:pPr>
            <w:r>
              <w:t xml:space="preserve">High import taxes on premium appliances (19%)</w:t>
            </w:r>
          </w:p>
        </w:tc>
        <w:tc>
          <w:tcPr/>
          <w:p>
            <w:pPr>
              <w:pStyle w:val="Compact"/>
              <w:jc w:val="left"/>
            </w:pPr>
            <w:r>
              <w:t xml:space="preserve">Established Casablanca assembly plant in 2022, reducing effective tariffs to 8% and accelerating supply chain by 3 weeks</w:t>
            </w:r>
          </w:p>
        </w:tc>
      </w:tr>
      <w:tr>
        <w:tc>
          <w:tcPr/>
          <w:p>
            <w:pPr>
              <w:pStyle w:val="Compact"/>
              <w:jc w:val="left"/>
            </w:pPr>
            <w:r>
              <w:t xml:space="preserve">Competitor price wars from local brands (e.g., "Salam")</w:t>
            </w:r>
          </w:p>
        </w:tc>
        <w:tc>
          <w:tcPr/>
          <w:p>
            <w:pPr>
              <w:pStyle w:val="Compact"/>
              <w:jc w:val="left"/>
            </w:pPr>
            <w:r>
              <w:t xml:space="preserve">Launched Mason Care subscription program with free maintenance for 3 years – increased customer retention by 41%</w:t>
            </w:r>
          </w:p>
        </w:tc>
      </w:tr>
    </w:tbl>
    <w:bookmarkEnd w:id="25"/>
    <w:bookmarkStart w:id="26" w:name="X9da90866128bb306075c898240e4d885e822030"/>
    <w:p>
      <w:pPr>
        <w:pStyle w:val="Heading2"/>
      </w:pPr>
      <w:r>
        <w:t xml:space="preserve">Future Outlook: Mason's Morocco Casablanca Roadmap</w:t>
      </w:r>
    </w:p>
    <w:p>
      <w:pPr>
        <w:pStyle w:val="FirstParagraph"/>
      </w:pPr>
      <w:r>
        <w:t xml:space="preserve">Based on Q3 results, Mason's strategic priorities for Morocco Casablanca include:</w:t>
      </w:r>
    </w:p>
    <w:p>
      <w:pPr>
        <w:numPr>
          <w:ilvl w:val="0"/>
          <w:numId w:val="1004"/>
        </w:numPr>
        <w:pStyle w:val="Compact"/>
      </w:pPr>
      <w:r>
        <w:rPr>
          <w:bCs/>
          <w:b/>
        </w:rPr>
        <w:t xml:space="preserve">Expansion into Secondary Cities</w:t>
      </w:r>
      <w:r>
        <w:t xml:space="preserve">: Developing distribution hubs in Rabat and Marrakech to leverage Casablanca's success pattern while maintaining central supply chain control.</w:t>
      </w:r>
    </w:p>
    <w:p>
      <w:pPr>
        <w:numPr>
          <w:ilvl w:val="0"/>
          <w:numId w:val="1004"/>
        </w:numPr>
        <w:pStyle w:val="Compact"/>
      </w:pPr>
      <w:r>
        <w:rPr>
          <w:bCs/>
          <w:b/>
        </w:rPr>
        <w:t xml:space="preserve">Sustainability Integration</w:t>
      </w:r>
      <w:r>
        <w:t xml:space="preserve">: Launching Mason's first solar-powered appliance line tailored for Morocco's 300+ sunny days annually, targeting Casablanca residential projects.</w:t>
      </w:r>
    </w:p>
    <w:p>
      <w:pPr>
        <w:numPr>
          <w:ilvl w:val="0"/>
          <w:numId w:val="1004"/>
        </w:numPr>
        <w:pStyle w:val="Compact"/>
      </w:pPr>
      <w:r>
        <w:rPr>
          <w:bCs/>
          <w:b/>
        </w:rPr>
        <w:t xml:space="preserve">Digital Transformation</w:t>
      </w:r>
      <w:r>
        <w:t xml:space="preserve">: Implementing augmented reality showrooms in Casablanca stores to virtually "place" appliances in customers' homes – projected to increase conversion rates by 25%.</w:t>
      </w:r>
    </w:p>
    <w:bookmarkEnd w:id="26"/>
    <w:bookmarkStart w:id="27" w:name="X79428eb50a15367610f06cbb9abb5809c776eeb"/>
    <w:p>
      <w:pPr>
        <w:pStyle w:val="Heading2"/>
      </w:pPr>
      <w:r>
        <w:t xml:space="preserve">Conclusion: Mason's Strategic Imperative in Morocco Casablanca</w:t>
      </w:r>
    </w:p>
    <w:p>
      <w:pPr>
        <w:pStyle w:val="FirstParagraph"/>
      </w:pPr>
      <w:r>
        <w:t xml:space="preserve">This comprehensive Sales Report confirms that Morocco Casablanca is not merely a regional market for Mason, but the cornerstone of our North African growth strategy. With 65% of our Moroccan revenue generated from this city alone, sustained investment in localized operations remains non-negotiable. The Q3 results demonstrate Mason's ability to thrive within Morocco Casablanca's unique economic and cultural environment – a testament to our adaptive market approach.</w:t>
      </w:r>
    </w:p>
    <w:p>
      <w:pPr>
        <w:pStyle w:val="BodyText"/>
      </w:pPr>
      <w:r>
        <w:t xml:space="preserve">Looking ahead, we project 28% year-over-year growth for Mason in Morocco Casablanca by 2024, driven by the strategic initiatives outlined in this report. Our continued success will hinge on deepening community integration while maintaining product excellence – ensuring Mason isn't just a brand in Morocco Casablanca, but an integral part of the city's evolving lifestyle narrative. The data is clear: when you invest in understanding Morocco Casablanca's consumer heartbeat, Mason's sales trajectory follows naturally.</w:t>
      </w:r>
    </w:p>
    <w:p>
      <w:pPr>
        <w:pStyle w:val="BodyText"/>
      </w:pPr>
      <w:r>
        <w:rPr>
          <w:bCs/>
          <w:b/>
        </w:rPr>
        <w:t xml:space="preserve">Prepared by:</w:t>
      </w:r>
      <w:r>
        <w:t xml:space="preserve"> </w:t>
      </w:r>
      <w:r>
        <w:t xml:space="preserve">Mason Global Sales Intelligence Team |</w:t>
      </w:r>
      <w:r>
        <w:t xml:space="preserve"> </w:t>
      </w:r>
      <w:r>
        <w:rPr>
          <w:bCs/>
          <w:b/>
        </w:rPr>
        <w:t xml:space="preserve">Date:</w:t>
      </w:r>
      <w:r>
        <w:t xml:space="preserve"> </w:t>
      </w:r>
      <w:r>
        <w:t xml:space="preserve">September 28,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Morocco Casablanca Market Analysis</dc:title>
  <dc:creator/>
  <dc:language>en</dc:language>
  <cp:keywords/>
  <dcterms:created xsi:type="dcterms:W3CDTF">2025-12-11T10:36:03Z</dcterms:created>
  <dcterms:modified xsi:type="dcterms:W3CDTF">2025-12-11T10:36:03Z</dcterms:modified>
</cp:coreProperties>
</file>

<file path=docProps/custom.xml><?xml version="1.0" encoding="utf-8"?>
<Properties xmlns="http://schemas.openxmlformats.org/officeDocument/2006/custom-properties" xmlns:vt="http://schemas.openxmlformats.org/officeDocument/2006/docPropsVTypes"/>
</file>