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Mason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7" w:name="X9f1f8cc7fc9b9f16caf5fe3119a830cdea48549"/>
    <w:p>
      <w:pPr>
        <w:pStyle w:val="Heading1"/>
      </w:pPr>
      <w:r>
        <w:t xml:space="preserve">Sales Report: Mason's Strategic Growth and Market Leadership in Netherlands Amsterdam (Q3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outstanding performance of Mason, our premium sustainable home solutions brand, within the Netherlands Amsterdam market. Serving as a critical operational hub for our European expansion, Amsterdam has demonstrated exceptional growth potential under Mason's localized sales strategy. This report highlights key achievements, market-specific insights, and strategic initiatives that position Mason for sustained dominance in one of Europe's most dynamic commercial landscapes.</w:t>
      </w:r>
    </w:p>
    <w:bookmarkEnd w:id="20"/>
    <w:bookmarkStart w:id="21" w:name="Xb2e888154feb6a380496ae645b7358d964e5462"/>
    <w:p>
      <w:pPr>
        <w:pStyle w:val="Heading2"/>
      </w:pPr>
      <w:r>
        <w:t xml:space="preserve">Q3 2024 Performance Overview: Mason's Amsterdam Momentum</w:t>
      </w:r>
    </w:p>
    <w:p>
      <w:pPr>
        <w:pStyle w:val="FirstParagraph"/>
      </w:pPr>
      <w:r>
        <w:t xml:space="preserve">Mason achieved a record-breaking 31% year-over-year growth in the Netherlands Amsterdam region during Q3 2024, significantly outperforming the national retail sector average of 9%. This success stems directly from Mason's hyper-localized approach tailored to Amsterdam's unique commercial ecosystem. Total revenue reached €1.87M, with a 42% increase in premium product category sales – particularly in our award-winning "EcoHome" line designed for Dutch urban living standards.</w:t>
      </w:r>
    </w:p>
    <w:p>
      <w:pPr>
        <w:pStyle w:val="BodyText"/>
      </w:pPr>
      <w:r>
        <w:t xml:space="preserve">Crucially, Mason secured five new major accounts within Amsterdam's central business district alone, including the renowned De Bijenkorf flagship store and three sustainability-focused co-working spaces (including WeWork Amsterdam). These partnerships represent a 67% increase in strategic B2B relationships compared to Q2. Mason's sales team – led by local expert Elise Vermeer – achieved a 92% client retention rate, the highest in our European portfolio.</w:t>
      </w:r>
    </w:p>
    <w:bookmarkEnd w:id="21"/>
    <w:bookmarkStart w:id="22" w:name="X026b791a8a0a06aaae47723c97c16385cee1a87"/>
    <w:p>
      <w:pPr>
        <w:pStyle w:val="Heading2"/>
      </w:pPr>
      <w:r>
        <w:t xml:space="preserve">Amsterdam Market Analysis: Why Mason Thrives Here</w:t>
      </w:r>
    </w:p>
    <w:p>
      <w:pPr>
        <w:pStyle w:val="FirstParagraph"/>
      </w:pPr>
      <w:r>
        <w:t xml:space="preserve">The Netherlands Amsterdam market presents distinct advantages for Mason's value proposition. As Europe's most sustainable city (ranked #1 by Global Green Cities Index), Amsterdam has a 78% consumer preference for certified eco-friendly products – aligning perfectly with Mason's core brand identity. Our Q3 focus on "Amsterdam Climate Action Week" initiatives, including pop-up installations at the NDSM Wharf, generated 24K qualified leads and directly contributed to a 29% surge in social media engagement from Dutch consumers.</w:t>
      </w:r>
    </w:p>
    <w:p>
      <w:pPr>
        <w:pStyle w:val="BodyText"/>
      </w:pPr>
      <w:r>
        <w:t xml:space="preserve">Mason's success is also rooted in understanding local procurement regulations. Our team navigated the Netherlands' new Circular Economy Act (effective Q1 2024) by redesigning product packaging for Amsterdam-based retailers – a move that reduced client onboarding costs by 35%. This regulatory agility has become a differentiator, with 89% of Amsterdam retailers citing "Mason's compliance expertise" as critical to their partnership.</w:t>
      </w:r>
    </w:p>
    <w:bookmarkEnd w:id="22"/>
    <w:bookmarkStart w:id="23" w:name="X54c9819d7d45f29242f32738f9f353bdd8e3300"/>
    <w:p>
      <w:pPr>
        <w:pStyle w:val="Heading2"/>
      </w:pPr>
      <w:r>
        <w:t xml:space="preserve">Regional Sales Breakdown: Mason's Amsterdam Leadership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Q3 2024 Revenue (€)</w:t>
      </w:r>
    </w:p>
    <w:p>
      <w:pPr>
        <w:pStyle w:val="BodyText"/>
      </w:pPr>
      <w:r>
        <w:t xml:space="preserve">% of Total Amsterdam Sales</w:t>
      </w:r>
    </w:p>
    <w:p>
      <w:pPr>
        <w:pStyle w:val="BodyText"/>
      </w:pPr>
      <w:r>
        <w:t xml:space="preserve">Mason's Market Share vs. Competitors</w:t>
      </w:r>
    </w:p>
    <w:p>
      <w:pPr>
        <w:pStyle w:val="BodyText"/>
      </w:pPr>
      <w:r>
        <w:t xml:space="preserve">Premium Sustainable Furniture</w:t>
      </w:r>
    </w:p>
    <w:p>
      <w:pPr>
        <w:pStyle w:val="BodyText"/>
      </w:pPr>
      <w:r>
        <w:t xml:space="preserve">€850,000</w:t>
      </w:r>
    </w:p>
    <w:p>
      <w:pPr>
        <w:pStyle w:val="BodyText"/>
      </w:pPr>
      <w:r>
        <w:t xml:space="preserve">45.4%</w:t>
      </w:r>
    </w:p>
    <w:p>
      <w:pPr>
        <w:pStyle w:val="BodyText"/>
      </w:pPr>
      <w:r>
        <w:t xml:space="preserve">38% (vs. competitor avg. 22%)</w:t>
      </w:r>
    </w:p>
    <w:p>
      <w:pPr>
        <w:pStyle w:val="BodyText"/>
      </w:pPr>
      <w:r>
        <w:t xml:space="preserve">Eco-Home Energy Systems</w:t>
      </w:r>
    </w:p>
    <w:p>
      <w:pPr>
        <w:pStyle w:val="BodyText"/>
      </w:pPr>
      <w:r>
        <w:t xml:space="preserve">€621,000</w:t>
      </w:r>
    </w:p>
    <w:p>
      <w:pPr>
        <w:pStyle w:val="BodyText"/>
      </w:pPr>
      <w:r>
        <w:t xml:space="preserve">Market Share: 43% vs. Competitors' 19%</w:t>
      </w:r>
    </w:p>
    <w:p>
      <w:pPr>
        <w:pStyle w:val="BodyText"/>
      </w:pPr>
      <w:r>
        <w:t xml:space="preserve">The above data underscores Mason's category leadership in Amsterdam. Our "Smart Living" energy systems, specifically designed for Dutch canal house renovations (addressing Amsterdam's strict heritage building regulations), captured a market share exceeding 40% – a 25-point lead over the next largest player.</w:t>
      </w:r>
    </w:p>
    <w:bookmarkEnd w:id="23"/>
    <w:bookmarkStart w:id="24" w:name="X8663436de7a46b3f48febc515675221bbca1647"/>
    <w:p>
      <w:pPr>
        <w:pStyle w:val="Heading2"/>
      </w:pPr>
      <w:r>
        <w:t xml:space="preserve">Key Challenges and Mason's Adaptive Solutions</w:t>
      </w:r>
    </w:p>
    <w:p>
      <w:pPr>
        <w:pStyle w:val="FirstParagraph"/>
      </w:pPr>
      <w:r>
        <w:t xml:space="preserve">Despite strong performance, Amsterdam presented unique hurdles. The city's tight labor market caused a 17% increase in sales team operational costs during Q3. Mason countered this through our "Amsterdam Talent Accelerator" program – partnering with local universities like the University of Amsterdam to fast-track bilingual sales talent. This initiative reduced recruitment time by 52% and increased team cultural alignment.</w:t>
      </w:r>
    </w:p>
    <w:p>
      <w:pPr>
        <w:pStyle w:val="BodyText"/>
      </w:pPr>
      <w:r>
        <w:t xml:space="preserve">Additionally, the Dutch government's new VAT regulations for imported goods threatened margin compression. Mason's dedicated Amsterdam compliance officer, Jan Koster (a former Dutch tax authority specialist), implemented a local fulfillment hub in Zandvoort. This reduced customs delays by 89% and protected profitability – a move directly referenced in our quarterly report to the Netherlands Chamber of Commerce.</w:t>
      </w:r>
    </w:p>
    <w:bookmarkEnd w:id="24"/>
    <w:bookmarkStart w:id="25" w:name="Xc1b76bbfa5a22eba440323a70b0e27a85cc2243"/>
    <w:p>
      <w:pPr>
        <w:pStyle w:val="Heading2"/>
      </w:pPr>
      <w:r>
        <w:t xml:space="preserve">Strategic Roadmap: Mason's Amsterdam Growth Horizon</w:t>
      </w:r>
    </w:p>
    <w:p>
      <w:pPr>
        <w:pStyle w:val="FirstParagraph"/>
      </w:pPr>
      <w:r>
        <w:t xml:space="preserve">Building on Q3 success, Mason has launched three Amsterdam-centric initiatives for Q4: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Mason Amsterdam Sustainability Index:</w:t>
      </w:r>
      <w:r>
        <w:t xml:space="preserve"> </w:t>
      </w:r>
      <w:r>
        <w:t xml:space="preserve">Co-developed with the City of Amsterdam to benchmark retail eco-performance (launching October 2024), positioning Mason as a thought leader.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Canal House Partnership Program:</w:t>
      </w:r>
      <w:r>
        <w:t xml:space="preserve"> </w:t>
      </w:r>
      <w:r>
        <w:t xml:space="preserve">Exclusive financing options for Amsterdam homeowners renovating heritage properties, backed by Dutch mortgage giant 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Pop-Up Network:</w:t>
      </w:r>
      <w:r>
        <w:t xml:space="preserve"> </w:t>
      </w:r>
      <w:r>
        <w:t xml:space="preserve">Temporary stores in high-traffic Amsterdam locations (including the new Centraal Station retail zone), targeting the city's 2.5M annual tourists who drive 30% of luxury home goods demand.</w:t>
      </w:r>
    </w:p>
    <w:bookmarkEnd w:id="25"/>
    <w:bookmarkStart w:id="26" w:name="X7ee5e9f461bef41b1e0ea48a8721aac5bb129af"/>
    <w:p>
      <w:pPr>
        <w:pStyle w:val="Heading2"/>
      </w:pPr>
      <w:r>
        <w:t xml:space="preserve">Conclusion: Mason as Amsterdam's Sustainable Commerce Catalyst</w:t>
      </w:r>
    </w:p>
    <w:p>
      <w:pPr>
        <w:pStyle w:val="FirstParagraph"/>
      </w:pPr>
      <w:r>
        <w:t xml:space="preserve">This Sales Report unequivocally demonstrates that Mason is not merely selling products in Netherlands Amsterdam – we are actively shaping the city's sustainable commerce landscape. Our 31% growth rate, category leadership, and regulatory innovation prove that a hyper-localized approach to a globally recognized brand delivers outsized returns. As Amsterdam continues its journey toward becoming carbon-neutral by 2030, Mason's alignment with local environmental policy positions us as an indispensable partner for both businesses and consumers.</w:t>
      </w:r>
    </w:p>
    <w:p>
      <w:pPr>
        <w:pStyle w:val="BodyText"/>
      </w:pPr>
      <w:r>
        <w:t xml:space="preserve">Looking ahead, the Netherlands Amsterdam market represents the single largest opportunity in our European portfolio. Mason has established itself as a benchmark for how international brands can thrive while respecting local culture and regulatory frameworks. We are confident that continued investment in Amsterdam's unique ecosystem – guided by our on-the-ground team and tailored to Dutch consumer values – will drive Mason toward €7M annual revenue from the Netherlands market within 18 months.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Team, Mason International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p>
      <w:pPr>
        <w:pStyle w:val="BodyText"/>
      </w:pPr>
      <w:r>
        <w:rPr>
          <w:iCs/>
          <w:i/>
        </w:rPr>
        <w:t xml:space="preserve">This Sales Report is filed with the Netherlands Chamber of Commerce (Kvk) under reference AM-MASS-2024-Q3 and aligns with Amsterdam's Sustainable Business Charter.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Mason Performance in Netherlands Amsterdam</dc:title>
  <dc:creator/>
  <dc:language>en</dc:language>
  <cp:keywords/>
  <dcterms:created xsi:type="dcterms:W3CDTF">2026-07-23T06:08:14Z</dcterms:created>
  <dcterms:modified xsi:type="dcterms:W3CDTF">2026-07-23T06:08:14Z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