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Performance</w:t>
      </w:r>
      <w:r>
        <w:t xml:space="preserve"> </w:t>
      </w:r>
      <w:r>
        <w:t xml:space="preserve">Analysis</w:t>
      </w:r>
    </w:p>
    <w:bookmarkStart w:id="29" w:name="Xf735c6957bfbe65bafe03b7328c11fc376da09d"/>
    <w:p>
      <w:pPr>
        <w:pStyle w:val="Heading1"/>
      </w:pPr>
      <w:r>
        <w:t xml:space="preserve">Mason Sales Report: Strategic Performance Overview for Peru Lima Market</w:t>
      </w:r>
    </w:p>
    <w:bookmarkStart w:id="20" w:name="executive-summary"/>
    <w:p>
      <w:pPr>
        <w:pStyle w:val="Heading2"/>
      </w:pPr>
      <w:r>
        <w:t xml:space="preserve">Executive Summary</w:t>
      </w:r>
    </w:p>
    <w:p>
      <w:pPr>
        <w:pStyle w:val="FirstParagraph"/>
      </w:pPr>
      <w:r>
        <w:t xml:space="preserve">This comprehensive Sales Report details Mason's commercial performance across the vibrant market of Lima, Peru, during the first half of 2023. As a leading provider of sustainable building materials in South America, Mason has achieved remarkable growth in Peru's capital city, solidifying its position as a market innovator. The report reveals a 34% year-over-year increase in sales volume within Lima, driven by strategic partnerships and localized marketing initiatives tailored specifically for Peruvian consumers. This Sales Report underscores Mason's commitment to delivering value while navigating the unique dynamics of the Peru Lima business ecosystem.</w:t>
      </w:r>
    </w:p>
    <w:bookmarkEnd w:id="20"/>
    <w:bookmarkStart w:id="21" w:name="market-context-why-peru-lima-matters"/>
    <w:p>
      <w:pPr>
        <w:pStyle w:val="Heading2"/>
      </w:pPr>
      <w:r>
        <w:t xml:space="preserve">Market Context: Why Peru Lima Matters</w:t>
      </w:r>
    </w:p>
    <w:p>
      <w:pPr>
        <w:pStyle w:val="FirstParagraph"/>
      </w:pPr>
      <w:r>
        <w:t xml:space="preserve">Lima represents more than 60% of Peru's total construction market, making it an indispensable focus for Mason's regional strategy. With over 10 million residents and accelerating urbanization (3.8% annual growth), the capital city presents unparalleled opportunities for premium building solutions. This Sales Report emphasizes how Mason has capitalized on Lima's infrastructure development boom—particularly in sustainable housing projects—through culturally attuned business practices that resonate with local architects, contractors, and government entities.</w:t>
      </w:r>
    </w:p>
    <w:bookmarkEnd w:id="21"/>
    <w:bookmarkStart w:id="22" w:name="X8b05df6a6f3d5bd1ac7d288b8b1d4d69824ecc1"/>
    <w:p>
      <w:pPr>
        <w:pStyle w:val="Heading2"/>
      </w:pPr>
      <w:r>
        <w:t xml:space="preserve">Key Sales Performance Metrics (Peru Lima: Q1-Q2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Q1 2023</w:t>
            </w:r>
          </w:p>
        </w:tc>
        <w:tc>
          <w:tcPr/>
          <w:p>
            <w:pPr>
              <w:pStyle w:val="Compact"/>
              <w:jc w:val="left"/>
            </w:pPr>
            <w:r>
              <w:t xml:space="preserve">Q2 2023</w:t>
            </w:r>
          </w:p>
        </w:tc>
        <w:tc>
          <w:tcPr/>
          <w:p>
            <w:pPr>
              <w:pStyle w:val="Compact"/>
              <w:jc w:val="left"/>
            </w:pPr>
            <w:r>
              <w:t xml:space="preserve">Growth vs Q1</w:t>
            </w:r>
          </w:p>
        </w:tc>
      </w:tr>
      <w:tr>
        <w:tc>
          <w:tcPr/>
          <w:p>
            <w:pPr>
              <w:pStyle w:val="Compact"/>
              <w:jc w:val="left"/>
            </w:pPr>
            <w:r>
              <w:t xml:space="preserve">Total Revenue (USD)</w:t>
            </w:r>
          </w:p>
        </w:tc>
        <w:tc>
          <w:tcPr/>
          <w:p>
            <w:pPr>
              <w:pStyle w:val="Compact"/>
              <w:jc w:val="left"/>
            </w:pPr>
            <w:r>
              <w:t xml:space="preserve">$875,000</w:t>
            </w:r>
          </w:p>
        </w:tc>
        <w:tc>
          <w:tcPr/>
          <w:p>
            <w:pPr>
              <w:pStyle w:val="Compact"/>
              <w:jc w:val="left"/>
            </w:pPr>
            <w:r>
              <w:t xml:space="preserve">$1,164,500</w:t>
            </w:r>
          </w:p>
        </w:tc>
        <w:tc>
          <w:tcPr/>
          <w:p>
            <w:pPr>
              <w:pStyle w:val="Compact"/>
              <w:jc w:val="left"/>
            </w:pPr>
            <w:r>
              <w:t xml:space="preserve">+33.2%</w:t>
            </w:r>
          </w:p>
        </w:tc>
      </w:tr>
      <w:tr>
        <w:tc>
          <w:tcPr/>
          <w:p>
            <w:pPr>
              <w:pStyle w:val="Compact"/>
              <w:jc w:val="left"/>
            </w:pPr>
            <w:r>
              <w:t xml:space="preserve">Units Sold</w:t>
            </w:r>
          </w:p>
        </w:tc>
        <w:tc>
          <w:tcPr/>
          <w:p>
            <w:pPr>
              <w:pStyle w:val="Compact"/>
              <w:jc w:val="left"/>
            </w:pPr>
            <w:r>
              <w:t xml:space="preserve">42,850</w:t>
            </w:r>
          </w:p>
        </w:tc>
        <w:tc>
          <w:tcPr/>
          <w:p>
            <w:pPr>
              <w:pStyle w:val="Compact"/>
              <w:jc w:val="left"/>
            </w:pPr>
            <w:r>
              <w:t xml:space="preserve">57,923</w:t>
            </w:r>
          </w:p>
        </w:tc>
        <w:tc>
          <w:tcPr/>
          <w:p>
            <w:pPr>
              <w:pStyle w:val="Compact"/>
              <w:jc w:val="left"/>
            </w:pPr>
            <w:r>
              <w:t xml:space="preserve">+35.2%</w:t>
            </w:r>
          </w:p>
        </w:tc>
      </w:tr>
      <w:tr>
        <w:tc>
          <w:tcPr/>
          <w:p>
            <w:pPr>
              <w:pStyle w:val="Compact"/>
              <w:jc w:val="left"/>
            </w:pPr>
            <w:r>
              <w:t xml:space="preserve">New Client Acquisition</w:t>
            </w:r>
          </w:p>
        </w:tc>
        <w:tc>
          <w:tcPr/>
          <w:p>
            <w:pPr>
              <w:pStyle w:val="Compact"/>
              <w:jc w:val="left"/>
            </w:pPr>
            <w:r>
              <w:t xml:space="preserve">18 Partnerships</w:t>
            </w:r>
          </w:p>
        </w:tc>
        <w:tc>
          <w:tcPr/>
          <w:p>
            <w:pPr>
              <w:pStyle w:val="Compact"/>
              <w:jc w:val="left"/>
            </w:pPr>
            <w:r>
              <w:t xml:space="preserve">27 Partnerships</w:t>
            </w:r>
          </w:p>
        </w:tc>
        <w:tc>
          <w:tcPr/>
          <w:p>
            <w:pPr>
              <w:pStyle w:val="Compact"/>
              <w:jc w:val="left"/>
            </w:pPr>
            <w:r>
              <w:t xml:space="preserve">+50.0%</w:t>
            </w:r>
          </w:p>
        </w:tc>
      </w:tr>
      <w:tr>
        <w:tc>
          <w:tcPr/>
          <w:p>
            <w:pPr>
              <w:pStyle w:val="Compact"/>
              <w:jc w:val="left"/>
            </w:pPr>
            <w:r>
              <w:t xml:space="preserve">Mason Brand Recognition (Lima)</w:t>
            </w:r>
          </w:p>
        </w:tc>
        <w:tc>
          <w:tcPr/>
          <w:p>
            <w:pPr>
              <w:pStyle w:val="Compact"/>
              <w:jc w:val="left"/>
            </w:pPr>
            <w:r>
              <w:t xml:space="preserve">41%</w:t>
            </w:r>
          </w:p>
        </w:tc>
        <w:tc>
          <w:tcPr/>
          <w:p>
            <w:pPr>
              <w:pStyle w:val="Compact"/>
              <w:jc w:val="left"/>
            </w:pPr>
            <w:r>
              <w:t xml:space="preserve">63%</w:t>
            </w:r>
          </w:p>
        </w:tc>
        <w:tc>
          <w:tcPr/>
          <w:p>
            <w:pPr>
              <w:pStyle w:val="Compact"/>
              <w:jc w:val="left"/>
            </w:pPr>
            <w:r>
              <w:t xml:space="preserve">+22 pts</w:t>
            </w:r>
          </w:p>
        </w:tc>
      </w:tr>
    </w:tbl>
    <w:bookmarkEnd w:id="22"/>
    <w:bookmarkStart w:id="24" w:name="X3c81ab4f2fbe38f6a0d319b59480f85df527837"/>
    <w:p>
      <w:pPr>
        <w:pStyle w:val="Heading2"/>
      </w:pPr>
      <w:r>
        <w:t xml:space="preserve">Product Performance Analysis: Mason's Winning Formula in Peru Lima</w:t>
      </w:r>
    </w:p>
    <w:p>
      <w:pPr>
        <w:pStyle w:val="FirstParagraph"/>
      </w:pPr>
      <w:r>
        <w:t xml:space="preserve">Mason's engineered concrete blocks and eco-friendly insulation systems dominated sales in Lima, contributing 78% of total revenue. The "Mason EcoBlock" line specifically saw a 47% surge, directly responding to Peru's new Green Building Code (Decreto Supremo 026-2021-VM) requiring sustainable materials for all public projects. This Sales Report highlights how Mason's localized product adaptations—like heat-resistant formulations for Lima's coastal climate—drove contractor preference over international competitors.</w:t>
      </w:r>
    </w:p>
    <w:bookmarkStart w:id="23" w:name="X2e87fa329574b833a1429ad6b4110ee9b183016"/>
    <w:p>
      <w:pPr>
        <w:pStyle w:val="Heading3"/>
      </w:pPr>
      <w:r>
        <w:t xml:space="preserve">Regional Breakdown: Lima District Performance</w:t>
      </w:r>
    </w:p>
    <w:p>
      <w:pPr>
        <w:numPr>
          <w:ilvl w:val="0"/>
          <w:numId w:val="1001"/>
        </w:numPr>
        <w:pStyle w:val="Compact"/>
      </w:pPr>
      <w:r>
        <w:rPr>
          <w:bCs/>
          <w:b/>
        </w:rPr>
        <w:t xml:space="preserve">Surco &amp; San Isidro (High-End Residential):</w:t>
      </w:r>
      <w:r>
        <w:t xml:space="preserve"> </w:t>
      </w:r>
      <w:r>
        <w:t xml:space="preserve">28% of total sales, driven by premium villa projects using Mason's architectural cladding systems. Key account growth: +41% with Estudio Arquitectónico Lira.</w:t>
      </w:r>
    </w:p>
    <w:p>
      <w:pPr>
        <w:numPr>
          <w:ilvl w:val="0"/>
          <w:numId w:val="1001"/>
        </w:numPr>
        <w:pStyle w:val="Compact"/>
      </w:pPr>
      <w:r>
        <w:rPr>
          <w:bCs/>
          <w:b/>
        </w:rPr>
        <w:t xml:space="preserve">Lima Metropolitana (Affordable Housing):</w:t>
      </w:r>
      <w:r>
        <w:t xml:space="preserve"> </w:t>
      </w:r>
      <w:r>
        <w:t xml:space="preserve">52% of volume, supported by government housing initiatives like "Vivienda Solidaria" where Mason became the preferred supplier after a successful pilot project in Villa El Salvador.</w:t>
      </w:r>
    </w:p>
    <w:p>
      <w:pPr>
        <w:numPr>
          <w:ilvl w:val="0"/>
          <w:numId w:val="1001"/>
        </w:numPr>
        <w:pStyle w:val="Compact"/>
      </w:pPr>
      <w:r>
        <w:rPr>
          <w:bCs/>
          <w:b/>
        </w:rPr>
        <w:t xml:space="preserve">Miraflores &amp; Barranco (Commercial Projects):</w:t>
      </w:r>
      <w:r>
        <w:t xml:space="preserve"> </w:t>
      </w:r>
      <w:r>
        <w:t xml:space="preserve">20% revenue share from hospitality and retail developments (e.g., new Starbucks locations, boutique hotels) leveraging Mason's fire-resistant materials for compliance.</w:t>
      </w:r>
    </w:p>
    <w:bookmarkEnd w:id="23"/>
    <w:bookmarkEnd w:id="24"/>
    <w:bookmarkStart w:id="25" w:name="Xd97f9f067c3ef97c6f2cefdee65c6c21c2db99d"/>
    <w:p>
      <w:pPr>
        <w:pStyle w:val="Heading2"/>
      </w:pPr>
      <w:r>
        <w:t xml:space="preserve">Strategic Achievements Driving Success in Peru Lima</w:t>
      </w:r>
    </w:p>
    <w:p>
      <w:pPr>
        <w:pStyle w:val="FirstParagraph"/>
      </w:pPr>
      <w:r>
        <w:t xml:space="preserve">This Sales Report identifies three pivotal achievements that redefined Mason's market position:</w:t>
      </w:r>
    </w:p>
    <w:p>
      <w:pPr>
        <w:numPr>
          <w:ilvl w:val="0"/>
          <w:numId w:val="1002"/>
        </w:numPr>
        <w:pStyle w:val="Compact"/>
      </w:pPr>
      <w:r>
        <w:rPr>
          <w:bCs/>
          <w:b/>
        </w:rPr>
        <w:t xml:space="preserve">Localized Sales Force Integration:</w:t>
      </w:r>
      <w:r>
        <w:t xml:space="preserve"> </w:t>
      </w:r>
      <w:r>
        <w:t xml:space="preserve">Hiring 15 Peruvian sales specialists with deep community networks accelerated trust-building. These agents conducted monthly "Mason Technical Workshops" across Lima, educating contractors on cost-saving applications.</w:t>
      </w:r>
    </w:p>
    <w:p>
      <w:pPr>
        <w:numPr>
          <w:ilvl w:val="0"/>
          <w:numId w:val="1002"/>
        </w:numPr>
        <w:pStyle w:val="Compact"/>
      </w:pPr>
      <w:r>
        <w:rPr>
          <w:bCs/>
          <w:b/>
        </w:rPr>
        <w:t xml:space="preserve">Government Partnership Milestone:</w:t>
      </w:r>
      <w:r>
        <w:t xml:space="preserve"> </w:t>
      </w:r>
      <w:r>
        <w:t xml:space="preserve">Securing the Ministry of Housing contract for the "Lima Ciudad de Futuro" project (750+ low-income homes) provided a high-visibility showcase. This was achieved through Mason's commitment to training local workforce members in sustainable construction techniques.</w:t>
      </w:r>
    </w:p>
    <w:p>
      <w:pPr>
        <w:numPr>
          <w:ilvl w:val="0"/>
          <w:numId w:val="1002"/>
        </w:numPr>
        <w:pStyle w:val="Compact"/>
      </w:pPr>
      <w:r>
        <w:rPr>
          <w:bCs/>
          <w:b/>
        </w:rPr>
        <w:t xml:space="preserve">Digital Transformation:</w:t>
      </w:r>
      <w:r>
        <w:t xml:space="preserve"> </w:t>
      </w:r>
      <w:r>
        <w:t xml:space="preserve">Launching Mason Peru's WhatsApp Business Platform enabled real-time technical support for Lima contractors, reducing response time from 48 hours to under 2 hours and improving customer retention by 37%.</w:t>
      </w:r>
    </w:p>
    <w:bookmarkEnd w:id="25"/>
    <w:bookmarkStart w:id="26" w:name="Xa38697fad251c974fd959de2c548555d3d3e7a6"/>
    <w:p>
      <w:pPr>
        <w:pStyle w:val="Heading2"/>
      </w:pPr>
      <w:r>
        <w:t xml:space="preserve">Challenges &amp; Adaptive Solutions in Peru Lima Market</w:t>
      </w:r>
    </w:p>
    <w:p>
      <w:pPr>
        <w:pStyle w:val="FirstParagraph"/>
      </w:pPr>
      <w:r>
        <w:t xml:space="preserve">The Sales Report acknowledges logistical hurdles specific to Lima's geography, where traffic congestion delays deliveries by up to 18 hours. Mason addressed this through:</w:t>
      </w:r>
    </w:p>
    <w:p>
      <w:pPr>
        <w:numPr>
          <w:ilvl w:val="0"/>
          <w:numId w:val="1003"/>
        </w:numPr>
        <w:pStyle w:val="Compact"/>
      </w:pPr>
      <w:r>
        <w:t xml:space="preserve">Establishing two micro-warehouses in Chosica and Santa Anita (strategic points near major construction zones)</w:t>
      </w:r>
    </w:p>
    <w:p>
      <w:pPr>
        <w:numPr>
          <w:ilvl w:val="0"/>
          <w:numId w:val="1003"/>
        </w:numPr>
        <w:pStyle w:val="Compact"/>
      </w:pPr>
      <w:r>
        <w:t xml:space="preserve">Implementing a predictive analytics system using Lima's weather patterns to optimize delivery scheduling</w:t>
      </w:r>
    </w:p>
    <w:p>
      <w:pPr>
        <w:numPr>
          <w:ilvl w:val="0"/>
          <w:numId w:val="1003"/>
        </w:numPr>
        <w:pStyle w:val="Compact"/>
      </w:pPr>
      <w:r>
        <w:t xml:space="preserve">Negotiating with local transport cooperatives for priority access during peak hours</w:t>
      </w:r>
    </w:p>
    <w:bookmarkEnd w:id="26"/>
    <w:bookmarkStart w:id="27" w:name="X5cc112084941d4f6dfba13e42d485e550fc6c66"/>
    <w:p>
      <w:pPr>
        <w:pStyle w:val="Heading2"/>
      </w:pPr>
      <w:r>
        <w:t xml:space="preserve">Future Growth Strategy: Mason's Roadmap for Peru Lima</w:t>
      </w:r>
    </w:p>
    <w:p>
      <w:pPr>
        <w:pStyle w:val="FirstParagraph"/>
      </w:pPr>
      <w:r>
        <w:t xml:space="preserve">Based on this Sales Report, Mason's 2023-2024 strategy for Lima focuses on three pillars:</w:t>
      </w:r>
    </w:p>
    <w:p>
      <w:pPr>
        <w:numPr>
          <w:ilvl w:val="0"/>
          <w:numId w:val="1004"/>
        </w:numPr>
        <w:pStyle w:val="Compact"/>
      </w:pPr>
      <w:r>
        <w:rPr>
          <w:bCs/>
          <w:b/>
        </w:rPr>
        <w:t xml:space="preserve">Product Innovation:</w:t>
      </w:r>
      <w:r>
        <w:t xml:space="preserve"> </w:t>
      </w:r>
      <w:r>
        <w:t xml:space="preserve">Developing "Mason Cero" line using recycled ocean plastic (aligned with Peru's anti-plastic pollution laws), targeting the 18,000+ construction firms in Lima.</w:t>
      </w:r>
    </w:p>
    <w:p>
      <w:pPr>
        <w:numPr>
          <w:ilvl w:val="0"/>
          <w:numId w:val="1004"/>
        </w:numPr>
        <w:pStyle w:val="Compact"/>
      </w:pPr>
      <w:r>
        <w:rPr>
          <w:bCs/>
          <w:b/>
        </w:rPr>
        <w:t xml:space="preserve">Community Investment:</w:t>
      </w:r>
      <w:r>
        <w:t xml:space="preserve"> </w:t>
      </w:r>
      <w:r>
        <w:t xml:space="preserve">Launching "Mason School Builder" initiative training 500 underprivileged youth in sustainable construction skills by Q4 2023, enhancing brand affinity while addressing labor shortages.</w:t>
      </w:r>
    </w:p>
    <w:p>
      <w:pPr>
        <w:numPr>
          <w:ilvl w:val="0"/>
          <w:numId w:val="1004"/>
        </w:numPr>
        <w:pStyle w:val="Compact"/>
      </w:pPr>
      <w:r>
        <w:rPr>
          <w:bCs/>
          <w:b/>
        </w:rPr>
        <w:t xml:space="preserve">Digital Expansion:</w:t>
      </w:r>
      <w:r>
        <w:t xml:space="preserve"> </w:t>
      </w:r>
      <w:r>
        <w:t xml:space="preserve">Partnering with Lima-based app developer CreaTech to create a BIM (Building Information Modeling) integration tool for Mason products, targeting all 12,000 registered architects in Peru.</w:t>
      </w:r>
    </w:p>
    <w:bookmarkEnd w:id="27"/>
    <w:bookmarkStart w:id="28" w:name="X5917ed8dbc68a1752a06cb3f5df1faa08daad51"/>
    <w:p>
      <w:pPr>
        <w:pStyle w:val="Heading2"/>
      </w:pPr>
      <w:r>
        <w:t xml:space="preserve">Conclusion: Mason's Commitment to Peru Lima</w:t>
      </w:r>
    </w:p>
    <w:p>
      <w:pPr>
        <w:pStyle w:val="FirstParagraph"/>
      </w:pPr>
      <w:r>
        <w:t xml:space="preserve">This Sales Report confirms that Mason has not merely entered the Lima market—it has become an indispensable partner in building Peru's sustainable future. The 34% sales growth validates our localized approach, where understanding cultural nuances (like the importance of "familismo" in business relationships) and environmental regulations (Peru's commitment to net-zero construction by 2050) drives commercial success. As we look ahead, Mason will deepen its roots in Peru Lima through community investment and innovation that turns construction challenges into shared opportunities. Our commitment remains steadfast: to build a stronger Lima, one sustainable block at a time.</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July 15, 2023</w:t>
      </w:r>
      <w:r>
        <w:br/>
      </w:r>
      <w:r>
        <w:rPr>
          <w:bCs/>
          <w:b/>
        </w:rPr>
        <w:t xml:space="preserve">Confidentiality Notice:</w:t>
      </w:r>
      <w:r>
        <w:t xml:space="preserve"> </w:t>
      </w:r>
      <w:r>
        <w:t xml:space="preserve">This Mason Sales Report is proprietary to Mason Corporation and intended solely for internal use within the Peru Lima operations team.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Peru Lima Performance Analysis</dc:title>
  <dc:creator/>
  <dc:language>en</dc:language>
  <cp:keywords/>
  <dcterms:created xsi:type="dcterms:W3CDTF">2025-12-09T15:09:07Z</dcterms:created>
  <dcterms:modified xsi:type="dcterms:W3CDTF">2025-12-09T15:09:07Z</dcterms:modified>
</cp:coreProperties>
</file>

<file path=docProps/custom.xml><?xml version="1.0" encoding="utf-8"?>
<Properties xmlns="http://schemas.openxmlformats.org/officeDocument/2006/custom-properties" xmlns:vt="http://schemas.openxmlformats.org/officeDocument/2006/docPropsVTypes"/>
</file>