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Performance</w:t>
      </w:r>
      <w:r>
        <w:t xml:space="preserve"> </w:t>
      </w:r>
      <w:r>
        <w:t xml:space="preserve">Q2</w:t>
      </w:r>
      <w:r>
        <w:t xml:space="preserve"> </w:t>
      </w:r>
      <w:r>
        <w:t xml:space="preserve">2023</w:t>
      </w:r>
    </w:p>
    <w:bookmarkStart w:id="30" w:name="X573e5efc04b1e46aae4a4fd8afb53dabeee3327"/>
    <w:p>
      <w:pPr>
        <w:pStyle w:val="Heading1"/>
      </w:pPr>
      <w:r>
        <w:t xml:space="preserve">SALES REPORT: MASON RUSSIA MOSCOW MARKET PERFORMANCE - QUARTER TWO (Q2) 2023</w:t>
      </w:r>
    </w:p>
    <w:bookmarkStart w:id="20" w:name="executive-summary"/>
    <w:p>
      <w:pPr>
        <w:pStyle w:val="Heading2"/>
      </w:pPr>
      <w:r>
        <w:t xml:space="preserve">Executive Summary</w:t>
      </w:r>
    </w:p>
    <w:p>
      <w:pPr>
        <w:pStyle w:val="FirstParagraph"/>
      </w:pPr>
      <w:r>
        <w:t xml:space="preserve">The Mason Sales Team has achieved significant milestones in the Russia Moscow market during Q2 2023, demonstrating resilience and strategic growth despite complex geopolitical conditions. Total revenue for Mason in Moscow reached $4.7 million, representing a 15% month-over-month (MoM) increase and a 28% year-over-year (YoY) growth compared to Q2 2022. This performance exceeds our regional target by 18%, positioning Mason as the fastest-growing premium supplier in the Moscow enterprise technology segment. Key drivers include expanded partnerships with local government entities, successful launches of Russia-adapted product suites, and a dedicated Moscow-based sales force that has increased market penetration by 37% in the quarter.</w:t>
      </w:r>
    </w:p>
    <w:bookmarkEnd w:id="20"/>
    <w:bookmarkStart w:id="21" w:name="Xe66100d025b6084018da241142e9389cb0264bf"/>
    <w:p>
      <w:pPr>
        <w:pStyle w:val="Heading2"/>
      </w:pPr>
      <w:r>
        <w:t xml:space="preserve">Market Context: Mason's Strategic Positioning in Russia Moscow</w:t>
      </w:r>
    </w:p>
    <w:p>
      <w:pPr>
        <w:pStyle w:val="FirstParagraph"/>
      </w:pPr>
      <w:r>
        <w:t xml:space="preserve">The Russia Moscow market remains critically important to Mason's global expansion strategy. As the political and economic epicenter of Russia, Moscow presents both unique challenges and unparalleled opportunities. During Q2, we navigated sanctions impacts by accelerating local partnerships with Russian tech firms like "Moscow IT Solutions" and "SberTech Alliance," ensuring supply chain continuity while maintaining Mason's premium brand positioning. Our localized sales approach—featuring Russian-language product training, Moscow-based customer success managers, and compliance with Federal Law 152-FZ on data localization—has been instrumental in building trust within the Moscow business community. The decision to establish a dedicated sales hub in Moscow’s Business Center district (near Krasnopresnenskaya Embankment) has proven pivotal for rapid response times and cultural alignment.</w:t>
      </w:r>
    </w:p>
    <w:bookmarkEnd w:id="21"/>
    <w:bookmarkStart w:id="22" w:name="X514aefc3fbb06dbf42f866e07d152b5c8a0b7e4"/>
    <w:p>
      <w:pPr>
        <w:pStyle w:val="Heading2"/>
      </w:pPr>
      <w:r>
        <w:t xml:space="preserve">Performance Highlights: Mason's Russia Moscow Results</w:t>
      </w:r>
    </w:p>
    <w:p>
      <w:pPr>
        <w:numPr>
          <w:ilvl w:val="0"/>
          <w:numId w:val="1001"/>
        </w:numPr>
        <w:pStyle w:val="Compact"/>
      </w:pPr>
      <w:r>
        <w:rPr>
          <w:bCs/>
          <w:b/>
        </w:rPr>
        <w:t xml:space="preserve">Revenue Growth:</w:t>
      </w:r>
      <w:r>
        <w:t xml:space="preserve"> </w:t>
      </w:r>
      <w:r>
        <w:t xml:space="preserve">$4.7M (Q2 2023), driven by 41% increase in enterprise contracts with Moscow-based financial institutions and government agencies.</w:t>
      </w:r>
    </w:p>
    <w:p>
      <w:pPr>
        <w:numPr>
          <w:ilvl w:val="0"/>
          <w:numId w:val="1001"/>
        </w:numPr>
        <w:pStyle w:val="Compact"/>
      </w:pPr>
      <w:r>
        <w:rPr>
          <w:bCs/>
          <w:b/>
        </w:rPr>
        <w:t xml:space="preserve">Product Adoption:</w:t>
      </w:r>
      <w:r>
        <w:t xml:space="preserve"> </w:t>
      </w:r>
      <w:r>
        <w:t xml:space="preserve">Mason SmartLocks Enterprise Suite achieved 65% market share among new installations in Moscow corporate offices, outperforming global competitors by 22 percentage points.</w:t>
      </w:r>
    </w:p>
    <w:p>
      <w:pPr>
        <w:numPr>
          <w:ilvl w:val="0"/>
          <w:numId w:val="1001"/>
        </w:numPr>
        <w:pStyle w:val="Compact"/>
      </w:pPr>
      <w:r>
        <w:rPr>
          <w:bCs/>
          <w:b/>
        </w:rPr>
        <w:t xml:space="preserve">Customer Retention:</w:t>
      </w:r>
      <w:r>
        <w:t xml:space="preserve"> </w:t>
      </w:r>
      <w:r>
        <w:t xml:space="preserve">78% retention rate from Q1 to Q2—surpassing the Russian market average of 63%—attributed to our Moscow-based technical support team providing same-day response for critical infrastructure clients.</w:t>
      </w:r>
    </w:p>
    <w:p>
      <w:pPr>
        <w:numPr>
          <w:ilvl w:val="0"/>
          <w:numId w:val="1001"/>
        </w:numPr>
        <w:pStyle w:val="Compact"/>
      </w:pPr>
      <w:r>
        <w:rPr>
          <w:bCs/>
          <w:b/>
        </w:rPr>
        <w:t xml:space="preserve">District Expansion:</w:t>
      </w:r>
      <w:r>
        <w:t xml:space="preserve"> </w:t>
      </w:r>
      <w:r>
        <w:t xml:space="preserve">Penetration increased in historically underserved Moscow regions: 45% growth in Tverskoy District, 32% in Zamoskvorechye, and 58% new enterprise accounts in the Central Administrative Okrug (CAO).</w:t>
      </w:r>
    </w:p>
    <w:bookmarkEnd w:id="22"/>
    <w:bookmarkStart w:id="26" w:name="X0dea24c8c164b234a3c8e107802780d61358e3a"/>
    <w:p>
      <w:pPr>
        <w:pStyle w:val="Heading2"/>
      </w:pPr>
      <w:r>
        <w:t xml:space="preserve">Key Strategies Driving Mason's Success in Russia Moscow</w:t>
      </w:r>
    </w:p>
    <w:p>
      <w:pPr>
        <w:pStyle w:val="FirstParagraph"/>
      </w:pPr>
      <w:r>
        <w:t xml:space="preserve">Mason’s Q2 success stems from three tailored strategies for the Russia Moscow market:</w:t>
      </w:r>
    </w:p>
    <w:bookmarkStart w:id="23" w:name="hyper-local-market-adaptation"/>
    <w:p>
      <w:pPr>
        <w:pStyle w:val="Heading3"/>
      </w:pPr>
      <w:r>
        <w:t xml:space="preserve">1. Hyper-Local Market Adaptation</w:t>
      </w:r>
    </w:p>
    <w:p>
      <w:pPr>
        <w:pStyle w:val="FirstParagraph"/>
      </w:pPr>
      <w:r>
        <w:t xml:space="preserve">We co-developed "Mason RusCore" software packages with Russian developers to ensure full compliance with local data laws and integrate seamlessly with Moscow’s municipal systems (e.g., "Moscow City" digital platform). This adaptation reduced implementation timelines by 40% for Moscow clients compared to global counterparts.</w:t>
      </w:r>
    </w:p>
    <w:bookmarkEnd w:id="23"/>
    <w:bookmarkStart w:id="24" w:name="government-institutional-partnerships"/>
    <w:p>
      <w:pPr>
        <w:pStyle w:val="Heading3"/>
      </w:pPr>
      <w:r>
        <w:t xml:space="preserve">2. Government &amp; Institutional Partnerships</w:t>
      </w:r>
    </w:p>
    <w:p>
      <w:pPr>
        <w:pStyle w:val="FirstParagraph"/>
      </w:pPr>
      <w:r>
        <w:t xml:space="preserve">Mason secured a landmark $1.8M contract with the Moscow Department of Urban Development to deploy smart infrastructure management across 27 municipal buildings. This was achieved through our Moscow government liaison team, which held 14 strategic briefings with city officials during Q2—demonstrating Mason’s commitment to Russia’s urban development goals.</w:t>
      </w:r>
    </w:p>
    <w:bookmarkEnd w:id="24"/>
    <w:bookmarkStart w:id="25" w:name="talent-localization"/>
    <w:p>
      <w:pPr>
        <w:pStyle w:val="Heading3"/>
      </w:pPr>
      <w:r>
        <w:t xml:space="preserve">3. Talent Localization</w:t>
      </w:r>
    </w:p>
    <w:p>
      <w:pPr>
        <w:pStyle w:val="FirstParagraph"/>
      </w:pPr>
      <w:r>
        <w:t xml:space="preserve">75% of Mason’s Moscow sales and support staff are native Russian speakers with local business experience. This team executed 89 client visits in Moscow during Q2—exceeding our target by 31%—and reduced onboarding time for new clients to under 72 hours, a critical factor in competing with local firms.</w:t>
      </w:r>
    </w:p>
    <w:bookmarkEnd w:id="25"/>
    <w:bookmarkEnd w:id="26"/>
    <w:bookmarkStart w:id="27" w:name="Xebb47b0678abe055d36e3d82bd3381872a3f737"/>
    <w:p>
      <w:pPr>
        <w:pStyle w:val="Heading2"/>
      </w:pPr>
      <w:r>
        <w:t xml:space="preserve">Challenges &amp; Mitigation in the Russia Moscow Environment</w:t>
      </w:r>
    </w:p>
    <w:p>
      <w:pPr>
        <w:pStyle w:val="FirstParagraph"/>
      </w:pPr>
      <w:r>
        <w:t xml:space="preserve">The Russia Moscow market presented challenges requiring agile solutions. Geopolitical sanctions initially impacted supply chains, but Mason’s pre-emptive shift to local partnerships with Russian manufacturers (e.g., "Novosibirsk Electronics") ensured 100% product availability. Currency volatility was managed through a localized pricing tiering system that maintained value perception during ruble fluctuations. Additionally, Moscow’s competitive landscape—dominated by firms like Sberbank Tech and Yandex Cloud—was countered by Mason’s focus on enterprise-grade security compliance, a key differentiator validated in 12 client case studies published in Q2.</w:t>
      </w:r>
    </w:p>
    <w:bookmarkEnd w:id="27"/>
    <w:bookmarkStart w:id="28" w:name="X88faf528f4cf45e5ce24bad163af63df904b5f9"/>
    <w:p>
      <w:pPr>
        <w:pStyle w:val="Heading2"/>
      </w:pPr>
      <w:r>
        <w:t xml:space="preserve">Future Outlook: Mason's Russia Moscow Roadmap</w:t>
      </w:r>
    </w:p>
    <w:p>
      <w:pPr>
        <w:pStyle w:val="FirstParagraph"/>
      </w:pPr>
      <w:r>
        <w:t xml:space="preserve">Mason will prioritize three initiatives to sustain momentum in the Russia Moscow market:</w:t>
      </w:r>
    </w:p>
    <w:p>
      <w:pPr>
        <w:numPr>
          <w:ilvl w:val="0"/>
          <w:numId w:val="1002"/>
        </w:numPr>
        <w:pStyle w:val="Compact"/>
      </w:pPr>
      <w:r>
        <w:rPr>
          <w:bCs/>
          <w:b/>
        </w:rPr>
        <w:t xml:space="preserve">Expand Government Contracts:</w:t>
      </w:r>
      <w:r>
        <w:t xml:space="preserve"> </w:t>
      </w:r>
      <w:r>
        <w:t xml:space="preserve">Target 15 new municipal agreements by Q4 2023, focusing on Moscow’s Smart City 2030 initiative.</w:t>
      </w:r>
    </w:p>
    <w:p>
      <w:pPr>
        <w:numPr>
          <w:ilvl w:val="0"/>
          <w:numId w:val="1002"/>
        </w:numPr>
        <w:pStyle w:val="Compact"/>
      </w:pPr>
      <w:r>
        <w:rPr>
          <w:bCs/>
          <w:b/>
        </w:rPr>
        <w:t xml:space="preserve">Develop Localized Product Lines:</w:t>
      </w:r>
      <w:r>
        <w:t xml:space="preserve"> </w:t>
      </w:r>
      <w:r>
        <w:t xml:space="preserve">Launch "Mason Moskva" cybersecurity suite in Q3, co-engineered with Moscow-based IT specialists to address Russian-specific threat vectors.</w:t>
      </w:r>
    </w:p>
    <w:p>
      <w:pPr>
        <w:numPr>
          <w:ilvl w:val="0"/>
          <w:numId w:val="1002"/>
        </w:numPr>
        <w:pStyle w:val="Compact"/>
      </w:pPr>
      <w:r>
        <w:rPr>
          <w:bCs/>
          <w:b/>
        </w:rPr>
        <w:t xml:space="preserve">Strengthen Talent Pipeline:</w:t>
      </w:r>
      <w:r>
        <w:t xml:space="preserve"> </w:t>
      </w:r>
      <w:r>
        <w:t xml:space="preserve">Partner with Moscow State University to establish a Mason Fellowship Program, cultivating future sales leaders within the local ecosystem.</w:t>
      </w:r>
    </w:p>
    <w:bookmarkEnd w:id="28"/>
    <w:bookmarkStart w:id="29" w:name="conclusion"/>
    <w:p>
      <w:pPr>
        <w:pStyle w:val="Heading2"/>
      </w:pPr>
      <w:r>
        <w:t xml:space="preserve">Conclusion</w:t>
      </w:r>
    </w:p>
    <w:p>
      <w:pPr>
        <w:pStyle w:val="FirstParagraph"/>
      </w:pPr>
      <w:r>
        <w:t xml:space="preserve">The Mason Sales Report confirms that Russia Moscow is not merely a market for our company—it is a strategic cornerstone of global growth. Our Q2 results reflect the power of localization, resilience in complex environments, and unwavering focus on client needs within this critical territory. By embedding ourselves into Moscow’s economic fabric through community engagement, regulatory compliance, and culturally attuned service delivery, Mason has built an unassailable position as a trusted partner for Russian enterprises. As we move into Q3 2023, Mason remains fully committed to the Russia Moscow market with aggressive but sustainable growth targets. The success of this region proves that even amid global turbulence, a deeply localized strategy can deliver exceptional results—and Mason is now poised to lead the way.</w:t>
      </w:r>
    </w:p>
    <w:p>
      <w:pPr>
        <w:pStyle w:val="BodyText"/>
      </w:pPr>
      <w:r>
        <w:rPr>
          <w:bCs/>
          <w:b/>
        </w:rPr>
        <w:t xml:space="preserve">Prepared for: Mason Global Executive Board</w:t>
      </w:r>
      <w:r>
        <w:br/>
      </w:r>
      <w:r>
        <w:rPr>
          <w:bCs/>
          <w:b/>
        </w:rPr>
        <w:t xml:space="preserve">Report Date: July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Russia Moscow Market Performance Q2 2023</dc:title>
  <dc:creator/>
  <dc:language>en</dc:language>
  <cp:keywords/>
  <dcterms:created xsi:type="dcterms:W3CDTF">2026-07-23T09:20:19Z</dcterms:created>
  <dcterms:modified xsi:type="dcterms:W3CDTF">2026-07-23T09:20:19Z</dcterms:modified>
</cp:coreProperties>
</file>

<file path=docProps/custom.xml><?xml version="1.0" encoding="utf-8"?>
<Properties xmlns="http://schemas.openxmlformats.org/officeDocument/2006/custom-properties" xmlns:vt="http://schemas.openxmlformats.org/officeDocument/2006/docPropsVTypes"/>
</file>