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736a94dbf802d847ca1fba7ef1e18dd9ccb588d"/>
    <w:p>
      <w:pPr>
        <w:pStyle w:val="Heading1"/>
      </w:pPr>
      <w:r>
        <w:t xml:space="preserve">Comprehensive Sales Report: Mason's Strategic Achievements in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Leadership Team, United Kingdom</w:t>
      </w:r>
      <w:r>
        <w:br/>
      </w:r>
      <w:r>
        <w:rPr>
          <w:bCs/>
          <w:b/>
        </w:rPr>
        <w:t xml:space="preserve">Subject:</w:t>
      </w:r>
      <w:r>
        <w:t xml:space="preserve"> </w:t>
      </w:r>
      <w:r>
        <w:t xml:space="preserve">Performance Analysis of Sales Strategy Led by Mason within the Birmingham Territory</w:t>
      </w:r>
    </w:p>
    <w:bookmarkStart w:id="20" w:name="executive-summary"/>
    <w:p>
      <w:pPr>
        <w:pStyle w:val="Heading2"/>
      </w:pPr>
      <w:r>
        <w:t xml:space="preserve">Executive Summary</w:t>
      </w:r>
    </w:p>
    <w:p>
      <w:pPr>
        <w:pStyle w:val="FirstParagraph"/>
      </w:pPr>
      <w:r>
        <w:t xml:space="preserve">This Sales Report details the outstanding performance of Mason, our Senior Sales Manager for the United Kingdom Birmingham market, covering Q1 to Q3 2023. Mason has driven a remarkable 18.7% year-over-year (YoY) growth in revenue within this strategically critical region, significantly exceeding both regional and national targets. The United Kingdom Birmingham market remains a high-potential hub for our expansion, and Mason's tailored approach has solidified our competitive position against major players like Next and John Lewis at the Bull Ring shopping centre. This report outlines key achievements, market dynamics, challenges overcome, and actionable recommendations for sustaining momentum.</w:t>
      </w:r>
    </w:p>
    <w:bookmarkEnd w:id="20"/>
    <w:bookmarkStart w:id="21" w:name="X322bbd5eb91360ec398581f3c9d6488db4532bc"/>
    <w:p>
      <w:pPr>
        <w:pStyle w:val="Heading2"/>
      </w:pPr>
      <w:r>
        <w:t xml:space="preserve">Market Context: United Kingdom Birmingham as a Strategic Hub</w:t>
      </w:r>
    </w:p>
    <w:p>
      <w:pPr>
        <w:pStyle w:val="FirstParagraph"/>
      </w:pPr>
      <w:r>
        <w:t xml:space="preserve">Birmingham is not merely another UK city; it is the heart of the West Midlands' economic engine and the second-largest city in England. As a designated "City Region," Birmingham boasts unparalleled connectivity, diverse demographics, and significant manufacturing heritage. The United Kingdom Birmingham market represents over 45% of our regional sales pipeline, with strong demand across retail, B2B services, and logistics sectors. Recent investments in the Digbeth Innovation District and continued regeneration of areas like the Eastside have created fertile ground for growth – a landscape Mason has leveraged with exceptional acumen. Understanding this unique market is non-negotiable for success in United Kingdom Birmingham.</w:t>
      </w:r>
    </w:p>
    <w:bookmarkEnd w:id="21"/>
    <w:bookmarkStart w:id="22" w:name="X8171aeaa40eb73dee662451c8d03634058dc826"/>
    <w:p>
      <w:pPr>
        <w:pStyle w:val="Heading2"/>
      </w:pPr>
      <w:r>
        <w:t xml:space="preserve">Key Performance Metrics: Mason's Direct Impact</w:t>
      </w:r>
    </w:p>
    <w:p>
      <w:pPr>
        <w:pStyle w:val="FirstParagraph"/>
      </w:pPr>
      <w:r>
        <w:t xml:space="preserve">Mason assumed leadership of the Birmingham territory in January 2023, inheriting a challenging environment marked by supply chain disruptions and heightened competition. His strategic initiatives yielded the following results:</w:t>
      </w:r>
    </w:p>
    <w:p>
      <w:pPr>
        <w:numPr>
          <w:ilvl w:val="0"/>
          <w:numId w:val="1001"/>
        </w:numPr>
        <w:pStyle w:val="Compact"/>
      </w:pPr>
      <w:r>
        <w:rPr>
          <w:bCs/>
          <w:b/>
        </w:rPr>
        <w:t xml:space="preserve">Revenue Growth:</w:t>
      </w:r>
      <w:r>
        <w:t xml:space="preserve"> </w:t>
      </w:r>
      <w:r>
        <w:t xml:space="preserve">£4.78M (Q3 2023) representing an 18.7% YoY increase versus £4.03M in Q3 2022.</w:t>
      </w:r>
    </w:p>
    <w:p>
      <w:pPr>
        <w:numPr>
          <w:ilvl w:val="0"/>
          <w:numId w:val="1001"/>
        </w:numPr>
        <w:pStyle w:val="Compact"/>
      </w:pPr>
      <w:r>
        <w:rPr>
          <w:bCs/>
          <w:b/>
        </w:rPr>
        <w:t xml:space="preserve">New Client Acquisition:</w:t>
      </w:r>
      <w:r>
        <w:t xml:space="preserve"> </w:t>
      </w:r>
      <w:r>
        <w:t xml:space="preserve">Secured 57 high-value B2B contracts with Birmingham-based SMEs and manufacturers, including a landmark deal with a major automotive parts supplier at the Birmingham City Centre hub.</w:t>
      </w:r>
    </w:p>
    <w:p>
      <w:pPr>
        <w:numPr>
          <w:ilvl w:val="0"/>
          <w:numId w:val="1001"/>
        </w:numPr>
        <w:pStyle w:val="Compact"/>
      </w:pPr>
      <w:r>
        <w:rPr>
          <w:bCs/>
          <w:b/>
        </w:rPr>
        <w:t xml:space="preserve">Market Share:</w:t>
      </w:r>
      <w:r>
        <w:t xml:space="preserve"> </w:t>
      </w:r>
      <w:r>
        <w:t xml:space="preserve">Increased penetration by 3.2% in the local retail sector, moving from 14.5% to 17.7%, outperforming both competitor averages and national benchmarks.</w:t>
      </w:r>
    </w:p>
    <w:p>
      <w:pPr>
        <w:numPr>
          <w:ilvl w:val="0"/>
          <w:numId w:val="1001"/>
        </w:numPr>
        <w:pStyle w:val="Compact"/>
      </w:pPr>
      <w:r>
        <w:rPr>
          <w:bCs/>
          <w:b/>
        </w:rPr>
        <w:t xml:space="preserve">Cross-Sell Success:</w:t>
      </w:r>
      <w:r>
        <w:t xml:space="preserve"> </w:t>
      </w:r>
      <w:r>
        <w:t xml:space="preserve">Achieved a 32% uplift in average transaction value through strategic bundling of our logistics and tech solutions for Birmingham-based enterprises.</w:t>
      </w:r>
    </w:p>
    <w:bookmarkEnd w:id="22"/>
    <w:bookmarkStart w:id="23" w:name="strategic-initiatives-driving-results"/>
    <w:p>
      <w:pPr>
        <w:pStyle w:val="Heading2"/>
      </w:pPr>
      <w:r>
        <w:t xml:space="preserve">Strategic Initiatives Driving Results</w:t>
      </w:r>
    </w:p>
    <w:p>
      <w:pPr>
        <w:pStyle w:val="FirstParagraph"/>
      </w:pPr>
      <w:r>
        <w:t xml:space="preserve">Mason's success was not accidental. His deep understanding of United Kingdom Birmingham’s business ecosystem enabled targeted strategies:</w:t>
      </w:r>
    </w:p>
    <w:p>
      <w:pPr>
        <w:numPr>
          <w:ilvl w:val="0"/>
          <w:numId w:val="1002"/>
        </w:numPr>
        <w:pStyle w:val="Compact"/>
      </w:pPr>
      <w:r>
        <w:rPr>
          <w:bCs/>
          <w:b/>
        </w:rPr>
        <w:t xml:space="preserve">Hyper-Local Market Intelligence:</w:t>
      </w:r>
      <w:r>
        <w:t xml:space="preserve"> </w:t>
      </w:r>
      <w:r>
        <w:t xml:space="preserve">Mason conducted weekly visits to key Birmingham locations (e.g., The Mailbox, Paradise Circus, and the new National Exhibition Centre retail zones) to gather real-time insights. This informed his team's pitch for localized inventory solutions that matched Birmingham’s unique seasonal demand patterns.</w:t>
      </w:r>
    </w:p>
    <w:p>
      <w:pPr>
        <w:numPr>
          <w:ilvl w:val="0"/>
          <w:numId w:val="1002"/>
        </w:numPr>
        <w:pStyle w:val="Compact"/>
      </w:pPr>
      <w:r>
        <w:rPr>
          <w:bCs/>
          <w:b/>
        </w:rPr>
        <w:t xml:space="preserve">Partnership Development:</w:t>
      </w:r>
      <w:r>
        <w:t xml:space="preserve"> </w:t>
      </w:r>
      <w:r>
        <w:t xml:space="preserve">Mason forged a pivotal alliance with Birmingham City Council’s Economic Development Office, securing preferential access to regeneration projects in areas like Eastside and the former Steelworks site. This directly translated into 12 new contracts for our infrastructure services.</w:t>
      </w:r>
    </w:p>
    <w:p>
      <w:pPr>
        <w:numPr>
          <w:ilvl w:val="0"/>
          <w:numId w:val="1002"/>
        </w:numPr>
        <w:pStyle w:val="Compact"/>
      </w:pPr>
      <w:r>
        <w:rPr>
          <w:bCs/>
          <w:b/>
        </w:rPr>
        <w:t xml:space="preserve">Talent Cultivation:</w:t>
      </w:r>
      <w:r>
        <w:t xml:space="preserve"> </w:t>
      </w:r>
      <w:r>
        <w:t xml:space="preserve">He implemented a "Birmingham Mentoring Program," embedding his sales team within local chambers of commerce events (e.g., BCC, BID initiatives). This boosted team credibility and yielded referrals from established Birmingham businesses.</w:t>
      </w:r>
    </w:p>
    <w:p>
      <w:pPr>
        <w:numPr>
          <w:ilvl w:val="0"/>
          <w:numId w:val="1002"/>
        </w:numPr>
        <w:pStyle w:val="Compact"/>
      </w:pPr>
      <w:r>
        <w:rPr>
          <w:bCs/>
          <w:b/>
        </w:rPr>
        <w:t xml:space="preserve">Digital Integration:</w:t>
      </w:r>
      <w:r>
        <w:t xml:space="preserve"> </w:t>
      </w:r>
      <w:r>
        <w:t xml:space="preserve">Mason deployed a custom CRM module tracking Birmingham-specific KPIs like "Birmingham Footfall Index" and "Local Event Impact," enabling real-time strategy adjustments for events such as the Birmingham Food Festival or the annual International Carpet Fair.</w:t>
      </w:r>
    </w:p>
    <w:bookmarkEnd w:id="23"/>
    <w:bookmarkStart w:id="24" w:name="X2e1586a24d1b84405ac36c95b7e731539c6acb8"/>
    <w:p>
      <w:pPr>
        <w:pStyle w:val="Heading2"/>
      </w:pPr>
      <w:r>
        <w:t xml:space="preserve">Challenges Overcome in United Kingdom Birmingham</w:t>
      </w:r>
    </w:p>
    <w:p>
      <w:pPr>
        <w:pStyle w:val="FirstParagraph"/>
      </w:pPr>
      <w:r>
        <w:t xml:space="preserve">Mason navigated significant hurdles in this dynamic market:</w:t>
      </w:r>
    </w:p>
    <w:p>
      <w:pPr>
        <w:numPr>
          <w:ilvl w:val="0"/>
          <w:numId w:val="1003"/>
        </w:numPr>
        <w:pStyle w:val="Compact"/>
      </w:pPr>
      <w:r>
        <w:rPr>
          <w:bCs/>
          <w:b/>
        </w:rPr>
        <w:t xml:space="preserve">Supply Chain Volatility:</w:t>
      </w:r>
      <w:r>
        <w:t xml:space="preserve"> </w:t>
      </w:r>
      <w:r>
        <w:t xml:space="preserve">Partnered with local suppliers like Tarmac Logistics to mitigate disruptions, ensuring 98% on-time delivery for Birmingham clients during the critical Q2 peak season.</w:t>
      </w:r>
    </w:p>
    <w:p>
      <w:pPr>
        <w:numPr>
          <w:ilvl w:val="0"/>
          <w:numId w:val="1003"/>
        </w:numPr>
        <w:pStyle w:val="Compact"/>
      </w:pPr>
      <w:r>
        <w:rPr>
          <w:bCs/>
          <w:b/>
        </w:rPr>
        <w:t xml:space="preserve">Competitive Pressure:</w:t>
      </w:r>
      <w:r>
        <w:t xml:space="preserve"> </w:t>
      </w:r>
      <w:r>
        <w:t xml:space="preserve">Outmaneuvered a major competitor’s aggressive pricing strategy by emphasizing long-term partnership value and bespoke solutions tailored to Birmingham’s manufacturing needs.</w:t>
      </w:r>
    </w:p>
    <w:p>
      <w:pPr>
        <w:numPr>
          <w:ilvl w:val="0"/>
          <w:numId w:val="1003"/>
        </w:numPr>
        <w:pStyle w:val="Compact"/>
      </w:pPr>
      <w:r>
        <w:rPr>
          <w:bCs/>
          <w:b/>
        </w:rPr>
        <w:t xml:space="preserve">Client Retention:</w:t>
      </w:r>
      <w:r>
        <w:t xml:space="preserve"> </w:t>
      </w:r>
      <w:r>
        <w:t xml:space="preserve">Implemented a proactive "Birmingham Client Health Check" system, reducing churn by 22% compared to the previous year through personalized support during the UK's economic uncertainty period.</w:t>
      </w:r>
    </w:p>
    <w:bookmarkEnd w:id="24"/>
    <w:bookmarkStart w:id="25" w:name="recommendations-for-sustained-growth"/>
    <w:p>
      <w:pPr>
        <w:pStyle w:val="Heading2"/>
      </w:pPr>
      <w:r>
        <w:t xml:space="preserve">Recommendations for Sustained Growth</w:t>
      </w:r>
    </w:p>
    <w:p>
      <w:pPr>
        <w:pStyle w:val="FirstParagraph"/>
      </w:pPr>
      <w:r>
        <w:t xml:space="preserve">To capitalize on Mason’s momentum and secure leadership in United Kingdom Birmingham, we propose:</w:t>
      </w:r>
    </w:p>
    <w:p>
      <w:pPr>
        <w:numPr>
          <w:ilvl w:val="0"/>
          <w:numId w:val="1004"/>
        </w:numPr>
        <w:pStyle w:val="Compact"/>
      </w:pPr>
      <w:r>
        <w:rPr>
          <w:bCs/>
          <w:b/>
        </w:rPr>
        <w:t xml:space="preserve">Expand the Localized Tech Suite:</w:t>
      </w:r>
      <w:r>
        <w:t xml:space="preserve"> </w:t>
      </w:r>
      <w:r>
        <w:t xml:space="preserve">Develop a dedicated "Birmingham Market Analytics Dashboard" integrating real-time data from BCC, Visit Birmingham, and retail footfall sensors to enhance predictive sales capabilities.</w:t>
      </w:r>
    </w:p>
    <w:p>
      <w:pPr>
        <w:numPr>
          <w:ilvl w:val="0"/>
          <w:numId w:val="1004"/>
        </w:numPr>
        <w:pStyle w:val="Compact"/>
      </w:pPr>
      <w:r>
        <w:rPr>
          <w:bCs/>
          <w:b/>
        </w:rPr>
        <w:t xml:space="preserve">Invest in Birmingham Talent Pipeline:</w:t>
      </w:r>
      <w:r>
        <w:t xml:space="preserve"> </w:t>
      </w:r>
      <w:r>
        <w:t xml:space="preserve">Partner with the University of Birmingham and Aston Business School for targeted graduate recruitment focused on local market expertise.</w:t>
      </w:r>
    </w:p>
    <w:bookmarkEnd w:id="25"/>
    <w:bookmarkStart w:id="26" w:name="conclusion"/>
    <w:p>
      <w:pPr>
        <w:pStyle w:val="Heading2"/>
      </w:pPr>
      <w:r>
        <w:t xml:space="preserve">Conclusion</w:t>
      </w:r>
    </w:p>
    <w:p>
      <w:pPr>
        <w:pStyle w:val="FirstParagraph"/>
      </w:pPr>
      <w:r>
        <w:t xml:space="preserve">Mason’s leadership has fundamentally transformed our sales trajectory in the United Kingdom Birmingham market. His ability to merge deep local insight with strategic agility has turned a previously stagnant territory into our fastest-growing regional segment. This Sales Report unequivocally demonstrates that Mason is not just a key performer but a strategic asset whose model should be replicated across other UK regions. The United Kingdom Birmingham market’s future, in the context of our global strategy, hinges on retaining and scaling this exceptional performance.</w:t>
      </w:r>
    </w:p>
    <w:p>
      <w:pPr>
        <w:pStyle w:val="BodyText"/>
      </w:pPr>
      <w:r>
        <w:t xml:space="preserve">As we move into Q4 2023, Mason’s team is already positioned to deliver against a 20% revenue growth target for Birmingham, setting the stage for a transformative year. His success underscores that understanding the unique pulse of United Kingdom Birmingham – from Digbeth’s creative energy to the industrial might of the West Midlands – is not just beneficial; it's essential for sustained sales excellence.</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analytics@ukcompany.com</w:t>
      </w:r>
      <w:r>
        <w:br/>
      </w:r>
      <w:r>
        <w:rPr>
          <w:bCs/>
          <w:b/>
        </w:rPr>
        <w:t xml:space="preserve">Distribution:</w:t>
      </w:r>
      <w:r>
        <w:t xml:space="preserve"> </w:t>
      </w:r>
      <w:r>
        <w:t xml:space="preserve">CEO, CFO, Regional Directors (United Kingdom), Mason’s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United Kingdom Birmingham</dc:title>
  <dc:creator/>
  <cp:keywords/>
  <dcterms:created xsi:type="dcterms:W3CDTF">2026-07-21T06:04:29Z</dcterms:created>
  <dcterms:modified xsi:type="dcterms:W3CDTF">2026-07-21T06:04:29Z</dcterms:modified>
</cp:coreProperties>
</file>

<file path=docProps/custom.xml><?xml version="1.0" encoding="utf-8"?>
<Properties xmlns="http://schemas.openxmlformats.org/officeDocument/2006/custom-properties" xmlns:vt="http://schemas.openxmlformats.org/officeDocument/2006/docPropsVTypes"/>
</file>