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London</w:t>
      </w:r>
    </w:p>
    <w:bookmarkStart w:id="29" w:name="mason-sales-performance-report"/>
    <w:p>
      <w:pPr>
        <w:pStyle w:val="Heading1"/>
      </w:pPr>
      <w:r>
        <w:t xml:space="preserve">Mason Sales Performance Report</w:t>
      </w:r>
    </w:p>
    <w:bookmarkStart w:id="28" w:name="united-kingdom-london-market-analysis"/>
    <w:p>
      <w:pPr>
        <w:pStyle w:val="Heading2"/>
      </w:pPr>
      <w:r>
        <w:t xml:space="preserve">United Kingdom London Market Analysis</w:t>
      </w:r>
    </w:p>
    <w:p>
      <w:pPr>
        <w:pStyle w:val="FirstParagraph"/>
      </w:pPr>
      <w:r>
        <w:rPr>
          <w:bCs/>
          <w:b/>
        </w:rPr>
        <w:t xml:space="preserve">Prepared For:</w:t>
      </w:r>
      <w:r>
        <w:t xml:space="preserve"> </w:t>
      </w:r>
      <w:r>
        <w:t xml:space="preserve">Mason 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3"/>
      </w:pPr>
      <w:r>
        <w:t xml:space="preserve">Executive Summary</w:t>
      </w:r>
    </w:p>
    <w:p>
      <w:pPr>
        <w:pStyle w:val="FirstParagraph"/>
      </w:pPr>
      <w:r>
        <w:t xml:space="preserve">This comprehensive Sales Report details Mason's market performance across the United Kingdom London territory during Q3 2023. Mason, a leading provider of premium home automation systems in the United Kingdom, has demonstrated robust growth despite macroeconomic challenges. The London market contributed 41% of total UK sales revenue for Mason, reflecting its strategic importance as the commercial heart of our operations. This Sales Report confirms that Mason's innovative product portfolio and localized customer engagement strategies have positioned us as a market leader in United Kingdom London's competitive smart home sector.</w:t>
      </w:r>
    </w:p>
    <w:bookmarkEnd w:id="20"/>
    <w:bookmarkStart w:id="22" w:name="q3-performance-highlights"/>
    <w:p>
      <w:pPr>
        <w:pStyle w:val="Heading3"/>
      </w:pPr>
      <w:r>
        <w:t xml:space="preserve">Q3 Performance Highlights</w:t>
      </w:r>
    </w:p>
    <w:p>
      <w:pPr>
        <w:pStyle w:val="FirstParagraph"/>
      </w:pPr>
      <w:r>
        <w:t xml:space="preserve">London-based Mason teams achieved £2.87M in sales revenue during Q3, representing a 14.2% year-over-year increase and exceeding quarterly targets by 8.7%. This growth was driven by three key factors: strategic expansion into London's luxury residential developments (accounting for 38% of total sales), strong enterprise contract wins with major London property developers, and successful implementation of Mason's new 'London Smart Living' customer experience program.</w:t>
      </w:r>
    </w:p>
    <w:bookmarkStart w:id="21" w:name="Xa0f9ad6279206a24536ca155da156e5c525128b"/>
    <w:p>
      <w:pPr>
        <w:pStyle w:val="Heading4"/>
      </w:pPr>
      <w:r>
        <w:t xml:space="preserve">Regional Sales Breakdown (United Kingdom London)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London District</w:t>
            </w:r>
          </w:p>
        </w:tc>
        <w:tc>
          <w:tcPr/>
          <w:p>
            <w:pPr>
              <w:pStyle w:val="Compact"/>
              <w:jc w:val="left"/>
            </w:pPr>
            <w:r>
              <w:t xml:space="preserve">Sales Revenue (£)</w:t>
            </w:r>
          </w:p>
        </w:tc>
        <w:tc>
          <w:tcPr/>
          <w:p>
            <w:pPr>
              <w:pStyle w:val="Compact"/>
              <w:jc w:val="left"/>
            </w:pPr>
            <w:r>
              <w:t xml:space="preserve">% Growth YoY</w:t>
            </w:r>
          </w:p>
        </w:tc>
        <w:tc>
          <w:tcPr/>
          <w:p>
            <w:pPr>
              <w:pStyle w:val="Compact"/>
              <w:jc w:val="left"/>
            </w:pPr>
            <w:r>
              <w:t xml:space="preserve">Key Initiatives</w:t>
            </w:r>
          </w:p>
        </w:tc>
      </w:tr>
      <w:tr>
        <w:tc>
          <w:tcPr/>
          <w:p>
            <w:pPr>
              <w:pStyle w:val="Compact"/>
              <w:jc w:val="left"/>
            </w:pPr>
            <w:r>
              <w:t xml:space="preserve">West Central (City of London)</w:t>
            </w:r>
          </w:p>
        </w:tc>
        <w:tc>
          <w:tcPr/>
          <w:p>
            <w:pPr>
              <w:pStyle w:val="Compact"/>
              <w:jc w:val="left"/>
            </w:pPr>
            <w:r>
              <w:t xml:space="preserve">£920,500</w:t>
            </w:r>
          </w:p>
        </w:tc>
        <w:tc>
          <w:tcPr/>
          <w:p>
            <w:pPr>
              <w:pStyle w:val="Compact"/>
              <w:jc w:val="left"/>
            </w:pPr>
            <w:r>
              <w:t xml:space="preserve">17.3%</w:t>
            </w:r>
          </w:p>
        </w:tc>
        <w:tc>
          <w:tcPr/>
          <w:p>
            <w:pPr>
              <w:pStyle w:val="Compact"/>
              <w:jc w:val="left"/>
            </w:pPr>
            <w:r>
              <w:t xml:space="preserve">Luxury apartment integrations with Canary Wharf developers</w:t>
            </w:r>
          </w:p>
        </w:tc>
      </w:tr>
      <w:tr>
        <w:tc>
          <w:tcPr/>
          <w:p>
            <w:pPr>
              <w:pStyle w:val="Compact"/>
              <w:jc w:val="left"/>
            </w:pPr>
            <w:r>
              <w:t xml:space="preserve">North London (Hampstead, Camden)</w:t>
            </w:r>
          </w:p>
        </w:tc>
        <w:tc>
          <w:tcPr/>
          <w:p>
            <w:pPr>
              <w:pStyle w:val="Compact"/>
              <w:jc w:val="left"/>
            </w:pPr>
            <w:r>
              <w:t xml:space="preserve">£745,200</w:t>
            </w:r>
          </w:p>
        </w:tc>
        <w:tc>
          <w:tcPr/>
          <w:p>
            <w:pPr>
              <w:pStyle w:val="Compact"/>
              <w:jc w:val="left"/>
            </w:pPr>
            <w:r>
              <w:t xml:space="preserve">12.6%</w:t>
            </w:r>
          </w:p>
        </w:tc>
        <w:tc>
          <w:tcPr/>
          <w:p>
            <w:pPr>
              <w:pStyle w:val="Compact"/>
              <w:jc w:val="left"/>
            </w:pPr>
            <w:r>
              <w:t xml:space="preserve">Targeted high-net-worth customer acquisition</w:t>
            </w:r>
          </w:p>
        </w:tc>
      </w:tr>
      <w:tr>
        <w:tc>
          <w:tcPr/>
          <w:p>
            <w:pPr>
              <w:pStyle w:val="Compact"/>
              <w:jc w:val="left"/>
            </w:pPr>
            <w:r>
              <w:t xml:space="preserve">South London (Kensington, Chelsea)</w:t>
            </w:r>
          </w:p>
        </w:tc>
        <w:tc>
          <w:tcPr/>
          <w:p>
            <w:pPr>
              <w:pStyle w:val="Compact"/>
              <w:jc w:val="left"/>
            </w:pPr>
            <w:r>
              <w:t xml:space="preserve">£683,100</w:t>
            </w:r>
          </w:p>
        </w:tc>
        <w:tc>
          <w:tcPr/>
          <w:p>
            <w:pPr>
              <w:pStyle w:val="Compact"/>
              <w:jc w:val="left"/>
            </w:pPr>
            <w:r>
              <w:t xml:space="preserve">15.9%</w:t>
            </w:r>
          </w:p>
        </w:tc>
        <w:tc>
          <w:tcPr/>
          <w:p>
            <w:pPr>
              <w:pStyle w:val="Compact"/>
              <w:jc w:val="left"/>
            </w:pPr>
            <w:r>
              <w:t xml:space="preserve">Enterprise contracts with property management firms</w:t>
            </w:r>
          </w:p>
        </w:tc>
      </w:tr>
      <w:tr>
        <w:tc>
          <w:tcPr/>
          <w:p>
            <w:pPr>
              <w:pStyle w:val="Compact"/>
              <w:jc w:val="left"/>
            </w:pPr>
            <w:r>
              <w:t xml:space="preserve">East London (Shoreditch, Hackney)</w:t>
            </w:r>
          </w:p>
        </w:tc>
        <w:tc>
          <w:tcPr/>
          <w:p>
            <w:pPr>
              <w:pStyle w:val="Compact"/>
              <w:jc w:val="left"/>
            </w:pPr>
            <w:r>
              <w:t xml:space="preserve">£521,700</w:t>
            </w:r>
          </w:p>
        </w:tc>
        <w:tc>
          <w:tcPr/>
          <w:p>
            <w:pPr>
              <w:pStyle w:val="Compact"/>
              <w:jc w:val="left"/>
            </w:pPr>
            <w:r>
              <w:t xml:space="preserve">9.4%</w:t>
            </w:r>
          </w:p>
        </w:tc>
        <w:tc>
          <w:tcPr/>
          <w:p>
            <w:pPr>
              <w:pStyle w:val="Compact"/>
              <w:jc w:val="left"/>
            </w:pPr>
            <w:r>
              <w:t xml:space="preserve">Expansion into modern apartment conversions</w:t>
            </w:r>
          </w:p>
        </w:tc>
      </w:tr>
    </w:tbl>
    <w:bookmarkEnd w:id="21"/>
    <w:bookmarkEnd w:id="22"/>
    <w:bookmarkStart w:id="23" w:name="market-analysis-strategic-insights"/>
    <w:p>
      <w:pPr>
        <w:pStyle w:val="Heading3"/>
      </w:pPr>
      <w:r>
        <w:t xml:space="preserve">Market Analysis &amp; Strategic Insights</w:t>
      </w:r>
    </w:p>
    <w:p>
      <w:pPr>
        <w:pStyle w:val="FirstParagraph"/>
      </w:pPr>
      <w:r>
        <w:t xml:space="preserve">The United Kingdom London market continues to represent Mason's most valuable commercial territory, contributing £8.2M (42%) to total UK revenue for the year-to-date. This Sales Report identifies several critical trends influencing Mason's success in London:</w:t>
      </w:r>
    </w:p>
    <w:p>
      <w:pPr>
        <w:numPr>
          <w:ilvl w:val="0"/>
          <w:numId w:val="1001"/>
        </w:numPr>
        <w:pStyle w:val="Compact"/>
      </w:pPr>
      <w:r>
        <w:rPr>
          <w:bCs/>
          <w:b/>
        </w:rPr>
        <w:t xml:space="preserve">Post-Pandemic Demand Surge:</w:t>
      </w:r>
      <w:r>
        <w:t xml:space="preserve"> </w:t>
      </w:r>
      <w:r>
        <w:t xml:space="preserve">London homeowners are prioritizing smart home solutions for security, energy efficiency, and remote living capabilities following the pandemic's acceleration of digital adoption. Mason's integrated systems outperformed competitors in this segment by 23%.</w:t>
      </w:r>
    </w:p>
    <w:p>
      <w:pPr>
        <w:numPr>
          <w:ilvl w:val="0"/>
          <w:numId w:val="1001"/>
        </w:numPr>
        <w:pStyle w:val="Compact"/>
      </w:pPr>
      <w:r>
        <w:rPr>
          <w:bCs/>
          <w:b/>
        </w:rPr>
        <w:t xml:space="preserve">Luxury Development Partnerships:</w:t>
      </w:r>
      <w:r>
        <w:t xml:space="preserve"> </w:t>
      </w:r>
      <w:r>
        <w:t xml:space="preserve">Mason secured contracts with 12 major London residential projects (including One Nine Elms and The Shard expansion), generating £4.6M in pipeline revenue for Q4. These partnerships are now a cornerstone of Mason's London strategy.</w:t>
      </w:r>
    </w:p>
    <w:p>
      <w:pPr>
        <w:numPr>
          <w:ilvl w:val="0"/>
          <w:numId w:val="1001"/>
        </w:numPr>
        <w:pStyle w:val="Compact"/>
      </w:pPr>
      <w:r>
        <w:rPr>
          <w:bCs/>
          <w:b/>
        </w:rPr>
        <w:t xml:space="preserve">Local Talent Advantage:</w:t>
      </w:r>
      <w:r>
        <w:t xml:space="preserve"> </w:t>
      </w:r>
      <w:r>
        <w:t xml:space="preserve">Mason's London-based sales team, with deep knowledge of local property regulations and client preferences, achieved 32% higher conversion rates than national averages.</w:t>
      </w:r>
    </w:p>
    <w:bookmarkEnd w:id="23"/>
    <w:bookmarkStart w:id="24" w:name="X5c42d78c263f3c7adee037c0ed27a38fcba2f79"/>
    <w:p>
      <w:pPr>
        <w:pStyle w:val="Heading3"/>
      </w:pPr>
      <w:r>
        <w:t xml:space="preserve">Customer Satisfaction &amp; Retention (London Focus)</w:t>
      </w:r>
    </w:p>
    <w:p>
      <w:pPr>
        <w:pStyle w:val="FirstParagraph"/>
      </w:pPr>
      <w:r>
        <w:t xml:space="preserve">Mason's customer experience in United Kingdom London achieved a Net Promoter Score (NPS) of 78, significantly above the industry average of 52. Key drivers included:</w:t>
      </w:r>
    </w:p>
    <w:p>
      <w:pPr>
        <w:numPr>
          <w:ilvl w:val="0"/>
          <w:numId w:val="1002"/>
        </w:numPr>
        <w:pStyle w:val="Compact"/>
      </w:pPr>
      <w:r>
        <w:t xml:space="preserve">Personalized installation services with local technicians certified in London building codes</w:t>
      </w:r>
    </w:p>
    <w:p>
      <w:pPr>
        <w:numPr>
          <w:ilvl w:val="0"/>
          <w:numId w:val="1002"/>
        </w:numPr>
        <w:pStyle w:val="Compact"/>
      </w:pPr>
      <w:r>
        <w:t xml:space="preserve">Free quarterly "Smart Home Optimization" check-ups for London customers</w:t>
      </w:r>
    </w:p>
    <w:p>
      <w:pPr>
        <w:numPr>
          <w:ilvl w:val="0"/>
          <w:numId w:val="1002"/>
        </w:numPr>
        <w:pStyle w:val="Compact"/>
      </w:pPr>
      <w:r>
        <w:t xml:space="preserve">Exclusive access to Mason's London Client Advisory Council (1,200+ members)</w:t>
      </w:r>
    </w:p>
    <w:p>
      <w:pPr>
        <w:pStyle w:val="FirstParagraph"/>
      </w:pPr>
      <w:r>
        <w:t xml:space="preserve">This exceptional retention rate (89% repeat business in London) has proven more valuable than new customer acquisition. As noted in our Sales Report, retaining a London-based client generates 3.7x higher lifetime value than acquiring a new one.</w:t>
      </w:r>
    </w:p>
    <w:bookmarkEnd w:id="24"/>
    <w:bookmarkStart w:id="25" w:name="challenges-mitigation-strategies"/>
    <w:p>
      <w:pPr>
        <w:pStyle w:val="Heading3"/>
      </w:pPr>
      <w:r>
        <w:t xml:space="preserve">Challenges &amp; Mitigation Strategies</w:t>
      </w:r>
    </w:p>
    <w:p>
      <w:pPr>
        <w:pStyle w:val="FirstParagraph"/>
      </w:pPr>
      <w:r>
        <w:t xml:space="preserve">Despite strong performance, this Sales Report identifies two critical challenges in United Kingdom London operations:</w:t>
      </w:r>
    </w:p>
    <w:p>
      <w:pPr>
        <w:numPr>
          <w:ilvl w:val="0"/>
          <w:numId w:val="1003"/>
        </w:numPr>
        <w:pStyle w:val="Compact"/>
      </w:pPr>
      <w:r>
        <w:rPr>
          <w:bCs/>
          <w:b/>
        </w:rPr>
        <w:t xml:space="preserve">Supply Chain Disruptions:</w:t>
      </w:r>
      <w:r>
        <w:t xml:space="preserve"> </w:t>
      </w:r>
      <w:r>
        <w:t xml:space="preserve">London's port congestion impacted delivery timelines for premium components. Mason implemented a local UK manufacturing partnership with Essex-based tech suppliers, reducing lead times by 47%.</w:t>
      </w:r>
    </w:p>
    <w:p>
      <w:pPr>
        <w:numPr>
          <w:ilvl w:val="0"/>
          <w:numId w:val="1003"/>
        </w:numPr>
        <w:pStyle w:val="Compact"/>
      </w:pPr>
      <w:r>
        <w:rPr>
          <w:bCs/>
          <w:b/>
        </w:rPr>
        <w:t xml:space="preserve">Competitive Pressure:</w:t>
      </w:r>
      <w:r>
        <w:t xml:space="preserve"> </w:t>
      </w:r>
      <w:r>
        <w:t xml:space="preserve">Emerging competitors targeted London's luxury market. Mason countered with exclusive 'Mason Signature Collection' (designed specifically for London architectural styles), capturing 28% market share in premium segment.</w:t>
      </w:r>
    </w:p>
    <w:bookmarkEnd w:id="25"/>
    <w:bookmarkStart w:id="26" w:name="q4-projections-strategic-recommendations"/>
    <w:p>
      <w:pPr>
        <w:pStyle w:val="Heading3"/>
      </w:pPr>
      <w:r>
        <w:t xml:space="preserve">Q4 Projections &amp; Strategic Recommendations</w:t>
      </w:r>
    </w:p>
    <w:p>
      <w:pPr>
        <w:pStyle w:val="FirstParagraph"/>
      </w:pPr>
      <w:r>
        <w:t xml:space="preserve">Based on current pipeline and London market momentum, Mason anticipates achieving £3.2M in Q4 sales revenue from United Kingdom London operations – a 16% YoY increase. This Sales Report recommends three priority initiatives:</w:t>
      </w:r>
    </w:p>
    <w:p>
      <w:pPr>
        <w:numPr>
          <w:ilvl w:val="0"/>
          <w:numId w:val="1004"/>
        </w:numPr>
        <w:pStyle w:val="Compact"/>
      </w:pPr>
      <w:r>
        <w:t xml:space="preserve">Launch Mason's 'London Urban Living' package targeting mid-market apartment blocks (projected £1.8M revenue by Q2 2024)</w:t>
      </w:r>
    </w:p>
    <w:p>
      <w:pPr>
        <w:numPr>
          <w:ilvl w:val="0"/>
          <w:numId w:val="1004"/>
        </w:numPr>
        <w:pStyle w:val="Compact"/>
      </w:pPr>
      <w:r>
        <w:t xml:space="preserve">Establish a dedicated London innovation lab at our West End headquarters to co-create solutions with local architects</w:t>
      </w:r>
    </w:p>
    <w:p>
      <w:pPr>
        <w:numPr>
          <w:ilvl w:val="0"/>
          <w:numId w:val="1004"/>
        </w:numPr>
        <w:pStyle w:val="Compact"/>
      </w:pPr>
      <w:r>
        <w:t xml:space="preserve">Implement AI-driven sales analytics specifically for London market patterns (expected 15% efficiency gain)</w:t>
      </w:r>
    </w:p>
    <w:bookmarkEnd w:id="26"/>
    <w:bookmarkStart w:id="27" w:name="conclusion"/>
    <w:p>
      <w:pPr>
        <w:pStyle w:val="Heading3"/>
      </w:pPr>
      <w:r>
        <w:t xml:space="preserve">Conclusion</w:t>
      </w:r>
    </w:p>
    <w:p>
      <w:pPr>
        <w:pStyle w:val="FirstParagraph"/>
      </w:pPr>
      <w:r>
        <w:t xml:space="preserve">The Sales Report confirms that Mason has successfully navigated the complexities of the United Kingdom London market through localized strategy, product innovation, and exceptional customer focus. London operations remain Mason's most profitable territory, driving 42% of our UK revenue while setting industry benchmarks for smart home integration in urban environments. As we enter Q4 2023, Mason must maintain its premium positioning while expanding access to London's growing mid-market segment – a strategic imperative detailed throughout this Sales Report.</w:t>
      </w:r>
    </w:p>
    <w:p>
      <w:pPr>
        <w:pStyle w:val="BodyText"/>
      </w:pPr>
      <w:r>
        <w:t xml:space="preserve">With the United Kingdom London market representing £18.7M in potential revenue annually (per our latest market study), Mason's continued investment in this territory is not merely advisable – it is essential for sustained leadership. The data unequivocally shows that Mason's focused approach to London has created a competitive moat that other players cannot replicate at scale.</w:t>
      </w:r>
    </w:p>
    <w:p>
      <w:pPr>
        <w:pStyle w:val="BodyText"/>
      </w:pPr>
      <w:r>
        <w:t xml:space="preserve">"Mason's success in United Kingdom London proves that understanding local nuances drives market leadership. This Sales Report isn't just about numbers – it's about how we've built relationships, not just sales." -</w:t>
      </w:r>
      <w:r>
        <w:t xml:space="preserve"> </w:t>
      </w:r>
      <w:r>
        <w:rPr>
          <w:iCs/>
          <w:i/>
        </w:rPr>
        <w:t xml:space="preserve">Emma Chen, Director of UK Operations</w:t>
      </w:r>
    </w:p>
    <w:p>
      <w:pPr>
        <w:pStyle w:val="BodyText"/>
      </w:pPr>
      <w:r>
        <w:t xml:space="preserve">Mason Limited | Regulated by Financial Conduct Authority (FCA) | Data Accuracy Verified October 25,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United Kingdom London</dc:title>
  <dc:creator/>
  <dc:language>en</dc:language>
  <cp:keywords/>
  <dcterms:created xsi:type="dcterms:W3CDTF">2025-12-10T01:09:01Z</dcterms:created>
  <dcterms:modified xsi:type="dcterms:W3CDTF">2025-12-10T01:09:01Z</dcterms:modified>
</cp:coreProperties>
</file>

<file path=docProps/custom.xml><?xml version="1.0" encoding="utf-8"?>
<Properties xmlns="http://schemas.openxmlformats.org/officeDocument/2006/custom-properties" xmlns:vt="http://schemas.openxmlformats.org/officeDocument/2006/docPropsVTypes"/>
</file>