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Performance</w:t>
      </w:r>
    </w:p>
    <w:bookmarkStart w:id="27" w:name="X3fd43a34063df9da7e9ae12aeddb062297a1513"/>
    <w:p>
      <w:pPr>
        <w:pStyle w:val="Heading1"/>
      </w:pPr>
      <w:r>
        <w:t xml:space="preserve">SALES REPORT FOR MASON IN UNITED STATES MIAMI</w:t>
      </w:r>
    </w:p>
    <w:p>
      <w:pPr>
        <w:pStyle w:val="FirstParagraph"/>
      </w:pPr>
      <w:r>
        <w:t xml:space="preserve">Quarterly Performance Analysis | Q3 2024 | Prepared for Mason Executive Leadership</w:t>
      </w:r>
    </w:p>
    <w:bookmarkStart w:id="20" w:name="executive-summary"/>
    <w:p>
      <w:pPr>
        <w:pStyle w:val="Heading2"/>
      </w:pPr>
      <w:r>
        <w:t xml:space="preserve">Executive Summary</w:t>
      </w:r>
    </w:p>
    <w:p>
      <w:pPr>
        <w:pStyle w:val="FirstParagraph"/>
      </w:pPr>
      <w:r>
        <w:t xml:space="preserve">This comprehensive Sales Report details Mason's performance across the United States Miami market during the third quarter of 2024. The report confirms that Mason has achieved exceptional growth in this strategic metropolitan area, solidifying its position as a leader in premium consumer goods within the vibrant Miami marketplace. With a 27% year-over-year increase in sales revenue and exceeding quarterly targets by 18%, this Sales Report demonstrates Mason's successful market penetration strategy tailored specifically for United States Miami demographics.</w:t>
      </w:r>
    </w:p>
    <w:bookmarkEnd w:id="20"/>
    <w:bookmarkStart w:id="21" w:name="market-performance-overview"/>
    <w:p>
      <w:pPr>
        <w:pStyle w:val="Heading2"/>
      </w:pPr>
      <w:r>
        <w:t xml:space="preserve">Market Performance Overview</w:t>
      </w:r>
    </w:p>
    <w:p>
      <w:pPr>
        <w:pStyle w:val="FirstParagraph"/>
      </w:pPr>
      <w:r>
        <w:t xml:space="preserve">The United States Miami region continues to represent a critical growth corridor for Mason, contributing 34% of total North American revenue. This Sales Report reveals that Mason's Miami operations have outperformed all other U.S. markets in the current fiscal quarter. Our key metrics include:</w:t>
      </w:r>
    </w:p>
    <w:p>
      <w:pPr>
        <w:numPr>
          <w:ilvl w:val="0"/>
          <w:numId w:val="1001"/>
        </w:numPr>
        <w:pStyle w:val="Compact"/>
      </w:pPr>
      <w:r>
        <w:rPr>
          <w:bCs/>
          <w:b/>
        </w:rPr>
        <w:t xml:space="preserve">Revenue Growth:</w:t>
      </w:r>
      <w:r>
        <w:t xml:space="preserve"> </w:t>
      </w:r>
      <w:r>
        <w:t xml:space="preserve">$12.8M (Q3 2024) vs $10.1M (Q3 2023) - +27% YoY</w:t>
      </w:r>
    </w:p>
    <w:p>
      <w:pPr>
        <w:numPr>
          <w:ilvl w:val="0"/>
          <w:numId w:val="1001"/>
        </w:numPr>
        <w:pStyle w:val="Compact"/>
      </w:pPr>
      <w:r>
        <w:rPr>
          <w:bCs/>
          <w:b/>
        </w:rPr>
        <w:t xml:space="preserve">Sales Target Achievement:</w:t>
      </w:r>
      <w:r>
        <w:t xml:space="preserve"> </w:t>
      </w:r>
      <w:r>
        <w:t xml:space="preserve">118% of quarterly goals</w:t>
      </w:r>
    </w:p>
    <w:p>
      <w:pPr>
        <w:numPr>
          <w:ilvl w:val="0"/>
          <w:numId w:val="1001"/>
        </w:numPr>
        <w:pStyle w:val="Compact"/>
      </w:pPr>
      <w:r>
        <w:rPr>
          <w:bCs/>
          <w:b/>
        </w:rPr>
        <w:t xml:space="preserve">New Customer Acquisition:</w:t>
      </w:r>
      <w:r>
        <w:t xml:space="preserve"> </w:t>
      </w:r>
      <w:r>
        <w:t xml:space="preserve">4,500 new accounts in Miami-Dade County</w:t>
      </w:r>
    </w:p>
    <w:p>
      <w:pPr>
        <w:numPr>
          <w:ilvl w:val="0"/>
          <w:numId w:val="1001"/>
        </w:numPr>
        <w:pStyle w:val="Compact"/>
      </w:pPr>
      <w:r>
        <w:rPr>
          <w:bCs/>
          <w:b/>
        </w:rPr>
        <w:t xml:space="preserve">Market Share Gain:</w:t>
      </w:r>
      <w:r>
        <w:t xml:space="preserve"> </w:t>
      </w:r>
      <w:r>
        <w:t xml:space="preserve">Increased from 12.3% to 15.7% in premium segment</w:t>
      </w:r>
    </w:p>
    <w:p>
      <w:pPr>
        <w:pStyle w:val="FirstParagraph"/>
      </w:pPr>
      <w:r>
        <w:t xml:space="preserve">Mason's success in United States Miami is directly attributable to our hyper-localized approach that resonates with the region's unique cultural dynamics and consumer preferences. This Sales Report underscores how Mason's Miami-specific initiatives have created a sustainable competitive advantage.</w:t>
      </w:r>
    </w:p>
    <w:bookmarkEnd w:id="21"/>
    <w:bookmarkStart w:id="22" w:name="product-performance-analysis"/>
    <w:p>
      <w:pPr>
        <w:pStyle w:val="Heading2"/>
      </w:pPr>
      <w:r>
        <w:t xml:space="preserve">Product Performance Analysis</w:t>
      </w:r>
    </w:p>
    <w:p>
      <w:pPr>
        <w:pStyle w:val="FirstParagraph"/>
      </w:pPr>
      <w:r>
        <w:t xml:space="preserve">Breakdown by product category reveals Mason's strongest performance in the luxury home goods and experiential wellness segments within United States Miami:</w:t>
      </w:r>
    </w:p>
    <w:p>
      <w:pPr>
        <w:pStyle w:val="BodyText"/>
      </w:pPr>
      <w:r>
        <w:t xml:space="preserve">Product Category</w:t>
      </w:r>
    </w:p>
    <w:p>
      <w:pPr>
        <w:pStyle w:val="BodyText"/>
      </w:pPr>
      <w:r>
        <w:t xml:space="preserve">Revenue (Q3)</w:t>
      </w:r>
    </w:p>
    <w:p>
      <w:pPr>
        <w:pStyle w:val="BodyText"/>
      </w:pPr>
      <w:r>
        <w:t xml:space="preserve">YoY Growth</w:t>
      </w:r>
    </w:p>
    <w:p>
      <w:pPr>
        <w:pStyle w:val="BodyText"/>
      </w:pPr>
      <w:r>
        <w:t xml:space="preserve">Miami Market Share</w:t>
      </w:r>
    </w:p>
    <w:p>
      <w:pPr>
        <w:pStyle w:val="BodyText"/>
      </w:pPr>
      <w:r>
        <w:t xml:space="preserve">Luxury Home Collections</w:t>
      </w:r>
    </w:p>
    <w:p>
      <w:pPr>
        <w:pStyle w:val="BodyText"/>
      </w:pPr>
      <w:r>
        <w:t xml:space="preserve">$5.2M</w:t>
      </w:r>
    </w:p>
    <w:p>
      <w:pPr>
        <w:pStyle w:val="BodyText"/>
      </w:pPr>
      <w:r>
        <w:t xml:space="preserve">34%</w:t>
      </w:r>
    </w:p>
    <w:p>
      <w:pPr>
        <w:pStyle w:val="BodyText"/>
      </w:pPr>
      <w:r>
        <w:t xml:space="preserve">18.9%</w:t>
      </w:r>
    </w:p>
    <w:p>
      <w:pPr>
        <w:pStyle w:val="BodyText"/>
      </w:pPr>
      <w:r>
        <w:t xml:space="preserve">Wellness Experiences (Spa, Retreats)</w:t>
      </w:r>
    </w:p>
    <w:p>
      <w:pPr>
        <w:pStyle w:val="BodyText"/>
      </w:pPr>
      <w:r>
        <w:t xml:space="preserve">$3.7M</w:t>
      </w:r>
    </w:p>
    <w:p>
      <w:pPr>
        <w:pStyle w:val="BodyText"/>
      </w:pPr>
      <w:r>
        <w:t xml:space="preserve">+42%</w:t>
      </w:r>
    </w:p>
    <w:p>
      <w:pPr>
        <w:pStyle w:val="BodyText"/>
      </w:pPr>
      <w:r>
        <w:t xml:space="preserve">23.1%</w:t>
      </w:r>
    </w:p>
    <w:p>
      <w:pPr>
        <w:pStyle w:val="BodyText"/>
      </w:pPr>
      <w:r>
        <w:t xml:space="preserve">Customizable Premium Apparel</w:t>
      </w:r>
    </w:p>
    <w:p>
      <w:pPr>
        <w:pStyle w:val="BodyText"/>
      </w:pPr>
      <w:r>
        <w:t xml:space="preserve">$1.9M</w:t>
      </w:r>
    </w:p>
    <w:p>
      <w:pPr>
        <w:pStyle w:val="BodyText"/>
      </w:pPr>
      <w:r>
        <w:t xml:space="preserve">+8%</w:t>
      </w:r>
    </w:p>
    <w:p>
      <w:pPr>
        <w:pStyle w:val="BodyText"/>
      </w:pPr>
      <w:r>
        <w:t xml:space="preserve">9.7%</w:t>
      </w:r>
    </w:p>
    <w:p>
      <w:pPr>
        <w:pStyle w:val="BodyText"/>
      </w:pPr>
      <w:r>
        <w:t xml:space="preserve">Technology Accessories</w:t>
      </w:r>
    </w:p>
    <w:p>
      <w:pPr>
        <w:pStyle w:val="BodyText"/>
      </w:pPr>
      <w:r>
        <w:t xml:space="preserve">$2.0M</w:t>
      </w:r>
    </w:p>
    <w:p>
      <w:pPr>
        <w:pStyle w:val="BodyText"/>
      </w:pPr>
      <w:r>
        <w:t xml:space="preserve">-5%</w:t>
      </w:r>
    </w:p>
    <w:p>
      <w:pPr>
        <w:pStyle w:val="BodyText"/>
      </w:pPr>
      <w:r>
        <w:t xml:space="preserve">11.2%</w:t>
      </w:r>
    </w:p>
    <w:p>
      <w:pPr>
        <w:pStyle w:val="BodyText"/>
      </w:pPr>
      <w:r>
        <w:t xml:space="preserve">The Sales Report indicates that our Miami-specific "Tropical Elegance" collection (inspired by South Florida culture) drove 62% of the luxury home category growth. This strategic product line, developed specifically for United States Miami consumers, has become Mason's fastest-growing segment.</w:t>
      </w:r>
    </w:p>
    <w:bookmarkEnd w:id="22"/>
    <w:bookmarkStart w:id="23" w:name="united-states-miami-market-analysis"/>
    <w:p>
      <w:pPr>
        <w:pStyle w:val="Heading2"/>
      </w:pPr>
      <w:r>
        <w:t xml:space="preserve">United States Miami Market Analysis</w:t>
      </w:r>
    </w:p>
    <w:p>
      <w:pPr>
        <w:pStyle w:val="FirstParagraph"/>
      </w:pPr>
      <w:r>
        <w:t xml:space="preserve">Miami's unique economic landscape makes it an ideal testing ground for Mason's growth strategy. This Sales Report identifies three key factors driving success in United States Miami:</w:t>
      </w:r>
    </w:p>
    <w:p>
      <w:pPr>
        <w:numPr>
          <w:ilvl w:val="0"/>
          <w:numId w:val="1002"/>
        </w:numPr>
        <w:pStyle w:val="Compact"/>
      </w:pPr>
      <w:r>
        <w:rPr>
          <w:bCs/>
          <w:b/>
        </w:rPr>
        <w:t xml:space="preserve">Demographic Alignment:</w:t>
      </w:r>
      <w:r>
        <w:t xml:space="preserve"> </w:t>
      </w:r>
      <w:r>
        <w:t xml:space="preserve">Mason's premium positioning perfectly matches Miami's high-net-worth population (18.3% increase in luxury buyers since 2023)</w:t>
      </w:r>
    </w:p>
    <w:p>
      <w:pPr>
        <w:numPr>
          <w:ilvl w:val="0"/>
          <w:numId w:val="1002"/>
        </w:numPr>
        <w:pStyle w:val="Compact"/>
      </w:pPr>
      <w:r>
        <w:rPr>
          <w:bCs/>
          <w:b/>
        </w:rPr>
        <w:t xml:space="preserve">Cultural Integration:</w:t>
      </w:r>
      <w:r>
        <w:t xml:space="preserve"> </w:t>
      </w:r>
      <w:r>
        <w:t xml:space="preserve">Partnerships with local cultural institutions like the Pérez Art Museum and Wynwood Arts District have driven brand affinity</w:t>
      </w:r>
    </w:p>
    <w:p>
      <w:pPr>
        <w:numPr>
          <w:ilvl w:val="0"/>
          <w:numId w:val="1002"/>
        </w:numPr>
        <w:pStyle w:val="Compact"/>
      </w:pPr>
      <w:r>
        <w:rPr>
          <w:bCs/>
          <w:b/>
        </w:rPr>
        <w:t xml:space="preserve">Seasonal Adaptation:</w:t>
      </w:r>
      <w:r>
        <w:t xml:space="preserve"> </w:t>
      </w:r>
      <w:r>
        <w:t xml:space="preserve">Miami-specific product adjustments for humidity-resistant materials and tropical aesthetics</w:t>
      </w:r>
    </w:p>
    <w:p>
      <w:pPr>
        <w:pStyle w:val="FirstParagraph"/>
      </w:pPr>
      <w:r>
        <w:t xml:space="preserve">The Sales Report notes that 73% of Miami customers discovered Mason through localized influencer marketing campaigns featuring Miami celebrities and community leaders. This hyper-targeted approach has proven far more effective than national advertising strategies.</w:t>
      </w:r>
    </w:p>
    <w:bookmarkEnd w:id="23"/>
    <w:bookmarkStart w:id="24" w:name="challenges-and-strategic-response"/>
    <w:p>
      <w:pPr>
        <w:pStyle w:val="Heading2"/>
      </w:pPr>
      <w:r>
        <w:t xml:space="preserve">Challenges and Strategic Response</w:t>
      </w:r>
    </w:p>
    <w:p>
      <w:pPr>
        <w:pStyle w:val="FirstParagraph"/>
      </w:pPr>
      <w:r>
        <w:t xml:space="preserve">Despite outstanding performance, this Sales Report identifies two significant challenges requiring attention:</w:t>
      </w:r>
    </w:p>
    <w:p>
      <w:pPr>
        <w:numPr>
          <w:ilvl w:val="0"/>
          <w:numId w:val="1003"/>
        </w:numPr>
        <w:pStyle w:val="Compact"/>
      </w:pPr>
      <w:r>
        <w:rPr>
          <w:bCs/>
          <w:b/>
        </w:rPr>
        <w:t xml:space="preserve">Supply Chain Delays:</w:t>
      </w:r>
      <w:r>
        <w:t xml:space="preserve"> </w:t>
      </w:r>
      <w:r>
        <w:t xml:space="preserve">Increased import costs from Asia impacted Q3 margins by 4.2%. Mason has mitigated this by establishing a new Miami-based fulfillment center.</w:t>
      </w:r>
    </w:p>
    <w:p>
      <w:pPr>
        <w:numPr>
          <w:ilvl w:val="0"/>
          <w:numId w:val="1003"/>
        </w:numPr>
        <w:pStyle w:val="Compact"/>
      </w:pPr>
      <w:r>
        <w:rPr>
          <w:bCs/>
          <w:b/>
        </w:rPr>
        <w:t xml:space="preserve">Competitive Pressure:</w:t>
      </w:r>
      <w:r>
        <w:t xml:space="preserve"> </w:t>
      </w:r>
      <w:r>
        <w:t xml:space="preserve">New entrants in the luxury wellness space required rapid product innovation. Mason's response was the launch of "Mason Oasis" spa experiences within major Miami hotels.</w:t>
      </w:r>
    </w:p>
    <w:p>
      <w:pPr>
        <w:pStyle w:val="FirstParagraph"/>
      </w:pPr>
      <w:r>
        <w:t xml:space="preserve">The Sales Report confirms that our proactive measures have already yielded results, with supply chain costs decreasing 12% in Q4 and competitor market share declining by 3.1% following Mason Oasis's success.</w:t>
      </w:r>
    </w:p>
    <w:bookmarkEnd w:id="24"/>
    <w:bookmarkStart w:id="25" w:name="Xedb13697a2e41996c20f28cc4e36c551d047c33"/>
    <w:p>
      <w:pPr>
        <w:pStyle w:val="Heading2"/>
      </w:pPr>
      <w:r>
        <w:t xml:space="preserve">Future Outlook and Strategic Recommendations</w:t>
      </w:r>
    </w:p>
    <w:p>
      <w:pPr>
        <w:pStyle w:val="FirstParagraph"/>
      </w:pPr>
      <w:r>
        <w:t xml:space="preserve">Based on the impressive performance documented in this Sales Report, Mason must double down on Miami-specific growth initiatives. Key recommendations include:</w:t>
      </w:r>
    </w:p>
    <w:p>
      <w:pPr>
        <w:numPr>
          <w:ilvl w:val="0"/>
          <w:numId w:val="1004"/>
        </w:numPr>
        <w:pStyle w:val="Compact"/>
      </w:pPr>
      <w:r>
        <w:rPr>
          <w:bCs/>
          <w:b/>
        </w:rPr>
        <w:t xml:space="preserve">Expand Miami Flagship Store:</w:t>
      </w:r>
      <w:r>
        <w:t xml:space="preserve"> </w:t>
      </w:r>
      <w:r>
        <w:t xml:space="preserve">Convert current location into a full experiential hub with augmented reality customization</w:t>
      </w:r>
    </w:p>
    <w:p>
      <w:pPr>
        <w:numPr>
          <w:ilvl w:val="0"/>
          <w:numId w:val="1004"/>
        </w:numPr>
        <w:pStyle w:val="Compact"/>
      </w:pPr>
      <w:r>
        <w:rPr>
          <w:bCs/>
          <w:b/>
        </w:rPr>
        <w:t xml:space="preserve">Local Talent Development:</w:t>
      </w:r>
      <w:r>
        <w:t xml:space="preserve"> </w:t>
      </w:r>
      <w:r>
        <w:t xml:space="preserve">Create Mason Miami Leadership Academy to cultivate regional talent</w:t>
      </w:r>
    </w:p>
    <w:p>
      <w:pPr>
        <w:numPr>
          <w:ilvl w:val="0"/>
          <w:numId w:val="1004"/>
        </w:numPr>
        <w:pStyle w:val="Compact"/>
      </w:pPr>
      <w:r>
        <w:rPr>
          <w:bCs/>
          <w:b/>
        </w:rPr>
        <w:t xml:space="preserve">Sustainability Integration:</w:t>
      </w:r>
      <w:r>
        <w:t xml:space="preserve"> </w:t>
      </w:r>
      <w:r>
        <w:t xml:space="preserve">Launch "Mason Coast" initiative using 100% recycled materials, appealing directly to Miami's eco-conscious consumers</w:t>
      </w:r>
    </w:p>
    <w:p>
      <w:pPr>
        <w:pStyle w:val="FirstParagraph"/>
      </w:pPr>
      <w:r>
        <w:t xml:space="preserve">This Sales Report projects a conservative 22% revenue growth for Mason in United States Miami during Q4 2024, with potential to reach $15.6M if current momentum continues. The market opportunity is substantial - Miami's luxury consumer spending is projected to grow at 9.3% annually through 2026, making this region critical to Mason's global expansion.</w:t>
      </w:r>
    </w:p>
    <w:bookmarkEnd w:id="25"/>
    <w:bookmarkStart w:id="26" w:name="conclusion"/>
    <w:p>
      <w:pPr>
        <w:pStyle w:val="Heading2"/>
      </w:pPr>
      <w:r>
        <w:t xml:space="preserve">Conclusion</w:t>
      </w:r>
    </w:p>
    <w:p>
      <w:pPr>
        <w:pStyle w:val="FirstParagraph"/>
      </w:pPr>
      <w:r>
        <w:t xml:space="preserve">The Sales Report clearly demonstrates that Mason has achieved remarkable success in United States Miami through a combination of cultural intelligence, product innovation, and strategic localization. This regional performance is not merely a statistical achievement - it represents Mason's successful adaptation to the unique rhythms of South Florida's market. As we conclude this quarterly Sales Report, we affirm that United States Miami will continue to serve as Mason's flagship market for premium consumer goods innovation in North America.</w:t>
      </w:r>
    </w:p>
    <w:p>
      <w:pPr>
        <w:pStyle w:val="BodyText"/>
      </w:pPr>
      <w:r>
        <w:t xml:space="preserve">Prepared by Mason Corporate Strategy Division | This Sales Report is confidential and proprietary to Mason Enterprises</w:t>
      </w:r>
      <w:r>
        <w:br/>
      </w:r>
      <w:r>
        <w:t xml:space="preserve">United States Miami Operations | 123 Coral Way, Miami, FL 33128 | www.mason.us/miami</w:t>
      </w:r>
    </w:p>
    <w:p>
      <w:pPr>
        <w:pStyle w:val="BodyText"/>
      </w:pPr>
      <w:r>
        <w:t xml:space="preserve">This Sales Report contains confidential business information. Distribution restricted to Mason executive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United States Miami Performance</dc:title>
  <dc:creator/>
  <dc:language>en</dc:language>
  <cp:keywords/>
  <dcterms:created xsi:type="dcterms:W3CDTF">2026-07-23T16:51:09Z</dcterms:created>
  <dcterms:modified xsi:type="dcterms:W3CDTF">2026-07-23T16:51:09Z</dcterms:modified>
</cp:coreProperties>
</file>

<file path=docProps/custom.xml><?xml version="1.0" encoding="utf-8"?>
<Properties xmlns="http://schemas.openxmlformats.org/officeDocument/2006/custom-properties" xmlns:vt="http://schemas.openxmlformats.org/officeDocument/2006/docPropsVTypes"/>
</file>