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Mason's</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dfc8ffbb27f189f413f072f25e74a01566d79de"/>
    <w:p>
      <w:pPr>
        <w:pStyle w:val="Heading1"/>
      </w:pPr>
      <w:r>
        <w:t xml:space="preserve">QUARTERLY SALES REPORT</w:t>
      </w:r>
      <w:r>
        <w:br/>
      </w:r>
      <w:r>
        <w:t xml:space="preserve">FOR MASON'S TEAM IN UNITED STATES NEW YORK CITY</w:t>
      </w:r>
    </w:p>
    <w:p>
      <w:pPr>
        <w:pStyle w:val="FirstParagraph"/>
      </w:pPr>
      <w:r>
        <w:t xml:space="preserve">Prepared for Executive Leadership | Q3 2023 | Date: October 17, 2023</w:t>
      </w:r>
    </w:p>
    <w:bookmarkStart w:id="20" w:name="executive-summary"/>
    <w:p>
      <w:pPr>
        <w:pStyle w:val="Heading2"/>
      </w:pPr>
      <w:r>
        <w:t xml:space="preserve">Executive Summary</w:t>
      </w:r>
    </w:p>
    <w:p>
      <w:pPr>
        <w:pStyle w:val="FirstParagraph"/>
      </w:pPr>
      <w:r>
        <w:t xml:space="preserve">This comprehensive Sales Report details Mason's exceptional performance across the United States New York City market during Q3 2023. As a key account executive for our premium consumer goods division, Mason achieved a remarkable 18% year-over-year growth in sales revenue within Manhattan and Brooklyn territories. His strategic approach to navigating NYC's complex commercial landscape has positioned him as one of the top performers in our entire North American operations. This report substantiates how Mason's localized market expertise and client relationship management directly contributed to exceeding our Q3 targets by 14%, generating $2.87M in revenue compared to the projected $2.52M.</w:t>
      </w:r>
    </w:p>
    <w:bookmarkEnd w:id="20"/>
    <w:bookmarkStart w:id="21" w:name="X5067f340de12682a8704268345b92cf84dd826f"/>
    <w:p>
      <w:pPr>
        <w:pStyle w:val="Heading2"/>
      </w:pPr>
      <w:r>
        <w:t xml:space="preserve">Market Context: United States New York City Dynamics</w:t>
      </w:r>
    </w:p>
    <w:p>
      <w:pPr>
        <w:pStyle w:val="FirstParagraph"/>
      </w:pPr>
      <w:r>
        <w:t xml:space="preserve">The United States New York City market remains our most competitive and high-potential territory, representing 37% of our national revenue stream. Q3 presented unique challenges including post-pandemic supply chain fluctuations, heightened competition from local boutique brands, and the economic uncertainty following NYC's recent tax policy adjustments. Mason's ability to adapt his sales strategy to these conditions—particularly by leveraging his deep understanding of neighborhood-specific consumer behaviors across Brooklyn, Queens, and Manhattan—proved critical. Unlike national sales representatives who relied on standardized approaches, Mason implemented hyper-localized campaigns that resonated with NYC's diverse demographics.</w:t>
      </w:r>
    </w:p>
    <w:bookmarkEnd w:id="21"/>
    <w:bookmarkStart w:id="23" w:name="masons-performance-metrics"/>
    <w:p>
      <w:pPr>
        <w:pStyle w:val="Heading2"/>
      </w:pPr>
      <w:r>
        <w:t xml:space="preserve">Mason's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 Result</w:t>
            </w:r>
          </w:p>
        </w:tc>
        <w:tc>
          <w:tcPr/>
          <w:p>
            <w:pPr>
              <w:pStyle w:val="Compact"/>
              <w:jc w:val="left"/>
            </w:pPr>
            <w:r>
              <w:t xml:space="preserve">Q2 2023 Result</w:t>
            </w:r>
          </w:p>
        </w:tc>
        <w:tc>
          <w:tcPr/>
          <w:p>
            <w:pPr>
              <w:pStyle w:val="Compact"/>
              <w:jc w:val="left"/>
            </w:pPr>
            <w:r>
              <w:t xml:space="preserve">YTD Target</w:t>
            </w:r>
          </w:p>
        </w:tc>
      </w:tr>
      <w:tr>
        <w:tc>
          <w:tcPr/>
          <w:p>
            <w:pPr>
              <w:pStyle w:val="Compact"/>
              <w:jc w:val="left"/>
            </w:pPr>
            <w:r>
              <w:t xml:space="preserve">Sales Revenue Generated</w:t>
            </w:r>
          </w:p>
        </w:tc>
        <w:tc>
          <w:tcPr/>
          <w:p>
            <w:pPr>
              <w:pStyle w:val="Compact"/>
              <w:jc w:val="left"/>
            </w:pPr>
            <w:r>
              <w:t xml:space="preserve">$2,870,450</w:t>
            </w:r>
          </w:p>
        </w:tc>
        <w:tc>
          <w:tcPr/>
          <w:p>
            <w:pPr>
              <w:pStyle w:val="Compact"/>
              <w:jc w:val="left"/>
            </w:pPr>
            <w:r>
              <w:t xml:space="preserve">$2,431,190</w:t>
            </w:r>
          </w:p>
        </w:tc>
        <w:tc>
          <w:tcPr/>
          <w:p>
            <w:pPr>
              <w:pStyle w:val="Compact"/>
              <w:jc w:val="left"/>
            </w:pPr>
            <w:r>
              <w:t xml:space="preserve">$7.5M (Target)</w:t>
            </w:r>
          </w:p>
        </w:tc>
      </w:tr>
      <w:tr>
        <w:tc>
          <w:tcPr/>
          <w:p>
            <w:pPr>
              <w:pStyle w:val="Compact"/>
              <w:jc w:val="left"/>
            </w:pPr>
            <w:r>
              <w:t xml:space="preserve">Client Acquisition Rate</w:t>
            </w:r>
          </w:p>
        </w:tc>
        <w:tc>
          <w:tcPr/>
          <w:p>
            <w:pPr>
              <w:pStyle w:val="Compact"/>
              <w:jc w:val="left"/>
            </w:pPr>
            <w:r>
              <w:t xml:space="preserve">27 New Clients</w:t>
            </w:r>
          </w:p>
        </w:tc>
        <w:tc>
          <w:tcPr/>
          <w:p>
            <w:pPr>
              <w:pStyle w:val="Compact"/>
              <w:jc w:val="left"/>
            </w:pPr>
            <w:r>
              <w:t xml:space="preserve">21 New Clients</w:t>
            </w:r>
          </w:p>
        </w:tc>
        <w:tc>
          <w:tcPr/>
          <w:p>
            <w:pPr>
              <w:pStyle w:val="Compact"/>
              <w:jc w:val="left"/>
            </w:pPr>
            <w:r>
              <w:t xml:space="preserve">60 (Target)</w:t>
            </w:r>
          </w:p>
        </w:tc>
      </w:tr>
      <w:tr>
        <w:tc>
          <w:tcPr/>
          <w:p>
            <w:pPr>
              <w:pStyle w:val="Compact"/>
              <w:jc w:val="left"/>
            </w:pPr>
            <w:r>
              <w:t xml:space="preserve">Cross-Sell Success Rate</w:t>
            </w:r>
          </w:p>
        </w:tc>
        <w:tc>
          <w:tcPr/>
          <w:p>
            <w:pPr>
              <w:pStyle w:val="Compact"/>
              <w:jc w:val="left"/>
            </w:pPr>
            <w:r>
              <w:t xml:space="preserve">42%</w:t>
            </w:r>
          </w:p>
        </w:tc>
        <w:tc>
          <w:tcPr/>
          <w:p>
            <w:pPr>
              <w:pStyle w:val="Compact"/>
              <w:jc w:val="left"/>
            </w:pPr>
            <w:r>
              <w:t xml:space="preserve">35%</w:t>
            </w:r>
          </w:p>
        </w:tc>
        <w:tc>
          <w:tcPr/>
          <w:p>
            <w:pPr>
              <w:pStyle w:val="Compact"/>
              <w:jc w:val="left"/>
            </w:pPr>
            <w:r>
              <w:t xml:space="preserve">38% (Target)</w:t>
            </w:r>
          </w:p>
        </w:tc>
      </w:tr>
      <w:tr>
        <w:tc>
          <w:tcPr/>
          <w:p>
            <w:pPr>
              <w:pStyle w:val="Compact"/>
              <w:jc w:val="left"/>
            </w:pPr>
            <w:r>
              <w:t xml:space="preserve">Average Deal Size</w:t>
            </w:r>
          </w:p>
        </w:tc>
        <w:tc>
          <w:tcPr/>
          <w:p>
            <w:pPr>
              <w:pStyle w:val="Compact"/>
              <w:jc w:val="left"/>
            </w:pPr>
            <w:r>
              <w:t xml:space="preserve">$26,700</w:t>
            </w:r>
          </w:p>
        </w:tc>
        <w:tc>
          <w:tcPr/>
          <w:p>
            <w:pPr>
              <w:pStyle w:val="Compact"/>
              <w:jc w:val="left"/>
            </w:pPr>
            <w:r>
              <w:t xml:space="preserve">$24,100</w:t>
            </w:r>
          </w:p>
        </w:tc>
        <w:tc>
          <w:tcPr/>
          <w:p>
            <w:pPr>
              <w:pStyle w:val="Compact"/>
              <w:jc w:val="left"/>
            </w:pPr>
            <w:r>
              <w:t xml:space="preserve">N/A</w:t>
            </w:r>
          </w:p>
        </w:tc>
      </w:tr>
    </w:tbl>
    <w:bookmarkStart w:id="22" w:name="Xedff06b69d02a77caa4533295876aede1f01627"/>
    <w:p>
      <w:pPr>
        <w:pStyle w:val="Heading3"/>
      </w:pPr>
      <w:r>
        <w:t xml:space="preserve">Breakthrough Achievement: The Brooklyn Collective Partnership</w:t>
      </w:r>
    </w:p>
    <w:p>
      <w:pPr>
        <w:pStyle w:val="FirstParagraph"/>
      </w:pPr>
      <w:r>
        <w:t xml:space="preserve">Mason's most significant win this quarter was securing a multi-year partnership with the Brooklyn Collective—a consortium of 12 high-end retail boutiques across Williamsburg and DUMBO. This $850,000 contract required navigating complex co-branding negotiations and aligning with NYC's sustainability initiatives. Mason demonstrated exceptional cultural intelligence by hosting an exclusive pop-up event at a former industrial space in Red Hook, featuring local artists whose work aligned with our brand values. The strategy attracted 1,243+ foot traffic and generated immediate sales of $189,000 during the launch weekend—far exceeding the anticipated $95K.</w:t>
      </w:r>
    </w:p>
    <w:bookmarkEnd w:id="22"/>
    <w:bookmarkEnd w:id="23"/>
    <w:bookmarkStart w:id="24" w:name="X84c6f3cfd3f070cee24f5e415bf9d2f94c830a1"/>
    <w:p>
      <w:pPr>
        <w:pStyle w:val="Heading2"/>
      </w:pPr>
      <w:r>
        <w:t xml:space="preserve">Strategic Insights from Mason's NYC Approach</w:t>
      </w:r>
    </w:p>
    <w:p>
      <w:pPr>
        <w:pStyle w:val="FirstParagraph"/>
      </w:pPr>
      <w:r>
        <w:t xml:space="preserve">Unlike conventional sales tactics, Mason's success in United States New York City hinges on three distinctive strategies:</w:t>
      </w:r>
    </w:p>
    <w:p>
      <w:pPr>
        <w:numPr>
          <w:ilvl w:val="0"/>
          <w:numId w:val="1001"/>
        </w:numPr>
        <w:pStyle w:val="Compact"/>
      </w:pPr>
      <w:r>
        <w:rPr>
          <w:bCs/>
          <w:b/>
        </w:rPr>
        <w:t xml:space="preserve">Native Community Integration:</w:t>
      </w:r>
      <w:r>
        <w:t xml:space="preserve"> </w:t>
      </w:r>
      <w:r>
        <w:t xml:space="preserve">Mason regularly participates in neighborhood business associations across NYC (e.g., SoHo Merchants Association, Crown Heights Business Improvement District), building trust before any sales pitch. His attendance at the annual Harlem Business Expo generated 17 qualified leads.</w:t>
      </w:r>
    </w:p>
    <w:p>
      <w:pPr>
        <w:numPr>
          <w:ilvl w:val="0"/>
          <w:numId w:val="1001"/>
        </w:numPr>
        <w:pStyle w:val="Compact"/>
      </w:pPr>
      <w:r>
        <w:rPr>
          <w:bCs/>
          <w:b/>
        </w:rPr>
        <w:t xml:space="preserve">Hyper-Local Data Analytics:</w:t>
      </w:r>
      <w:r>
        <w:t xml:space="preserve"> </w:t>
      </w:r>
      <w:r>
        <w:t xml:space="preserve">He utilizes NYC-specific demographic tools to identify emerging neighborhoods (like East New York's commercial renaissance) before competitors notice growth patterns, resulting in 32% of new clients coming from these untapped areas.</w:t>
      </w:r>
    </w:p>
    <w:p>
      <w:pPr>
        <w:numPr>
          <w:ilvl w:val="0"/>
          <w:numId w:val="1001"/>
        </w:numPr>
        <w:pStyle w:val="Compact"/>
      </w:pPr>
      <w:r>
        <w:rPr>
          <w:bCs/>
          <w:b/>
        </w:rPr>
        <w:t xml:space="preserve">Crisis Response Agility:</w:t>
      </w:r>
      <w:r>
        <w:t xml:space="preserve"> </w:t>
      </w:r>
      <w:r>
        <w:t xml:space="preserve">When Hurricane Ida caused supply chain disruptions in August, Mason personally coordinated with local vendors to reroute shipments through Brooklyn's logistics hubs—minimizing client downtime and securing a 92% retention rate among existing accounts during the crisis.</w:t>
      </w:r>
    </w:p>
    <w:bookmarkEnd w:id="24"/>
    <w:bookmarkStart w:id="25" w:name="challenges-and-competitive-landscape"/>
    <w:p>
      <w:pPr>
        <w:pStyle w:val="Heading2"/>
      </w:pPr>
      <w:r>
        <w:t xml:space="preserve">Challenges and Competitive Landscape</w:t>
      </w:r>
    </w:p>
    <w:p>
      <w:pPr>
        <w:pStyle w:val="FirstParagraph"/>
      </w:pPr>
      <w:r>
        <w:t xml:space="preserve">Despite Mason's success, United States New York City presents unique hurdles. The market is saturated with regional competitors like "CityGrowth Solutions" (which recently undercut our pricing by 8% for bulk orders). Mason countered by emphasizing our superior customer service—implementing same-day onboarding for new clients in Manhattan, a differentiator that reduced sales cycles by 19 days. Additionally, NYC's stringent commercial real estate costs required Mason to shift toward digital engagement strategies, resulting in a 67% increase in virtual client meetings compared to Q2.</w:t>
      </w:r>
    </w:p>
    <w:bookmarkEnd w:id="25"/>
    <w:bookmarkStart w:id="26" w:name="recommendations-for-scaling-success"/>
    <w:p>
      <w:pPr>
        <w:pStyle w:val="Heading2"/>
      </w:pPr>
      <w:r>
        <w:t xml:space="preserve">Recommendations for Scaling Success</w:t>
      </w:r>
    </w:p>
    <w:p>
      <w:pPr>
        <w:pStyle w:val="FirstParagraph"/>
      </w:pPr>
      <w:r>
        <w:t xml:space="preserve">Based on Mason's proven methodology, we recommend:</w:t>
      </w:r>
    </w:p>
    <w:p>
      <w:pPr>
        <w:numPr>
          <w:ilvl w:val="0"/>
          <w:numId w:val="1002"/>
        </w:numPr>
        <w:pStyle w:val="Compact"/>
      </w:pPr>
      <w:r>
        <w:rPr>
          <w:bCs/>
          <w:b/>
        </w:rPr>
        <w:t xml:space="preserve">Replicate the NYC Model Nationally:</w:t>
      </w:r>
      <w:r>
        <w:t xml:space="preserve"> </w:t>
      </w:r>
      <w:r>
        <w:t xml:space="preserve">Develop a "Mason Framework" training module for all sales teams to adapt local market intelligence strategies across other urban centers.</w:t>
      </w:r>
    </w:p>
    <w:p>
      <w:pPr>
        <w:numPr>
          <w:ilvl w:val="0"/>
          <w:numId w:val="1002"/>
        </w:numPr>
        <w:pStyle w:val="Compact"/>
      </w:pPr>
      <w:r>
        <w:rPr>
          <w:bCs/>
          <w:b/>
        </w:rPr>
        <w:t xml:space="preserve">Expand Brooklyn Collective Model:</w:t>
      </w:r>
      <w:r>
        <w:t xml:space="preserve"> </w:t>
      </w:r>
      <w:r>
        <w:t xml:space="preserve">Scale this community-driven partnership approach to 3 additional NYC boroughs by Q1 2024, targeting $5M in incremental revenue.</w:t>
      </w:r>
    </w:p>
    <w:p>
      <w:pPr>
        <w:numPr>
          <w:ilvl w:val="0"/>
          <w:numId w:val="1002"/>
        </w:numPr>
        <w:pStyle w:val="Compact"/>
      </w:pPr>
      <w:r>
        <w:rPr>
          <w:bCs/>
          <w:b/>
        </w:rPr>
        <w:t xml:space="preserve">Invest in Localized Tech Stack:</w:t>
      </w:r>
      <w:r>
        <w:t xml:space="preserve"> </w:t>
      </w:r>
      <w:r>
        <w:t xml:space="preserve">Allocate $150K for a custom CRM feature tracking neighborhood-specific purchasing cycles (e.g., holiday spending patterns in Tribeca vs. Queens).</w:t>
      </w:r>
    </w:p>
    <w:bookmarkEnd w:id="26"/>
    <w:bookmarkStart w:id="28" w:name="conclusion"/>
    <w:p>
      <w:pPr>
        <w:pStyle w:val="Heading2"/>
      </w:pPr>
      <w:r>
        <w:t xml:space="preserve">Conclusion</w:t>
      </w:r>
    </w:p>
    <w:p>
      <w:pPr>
        <w:pStyle w:val="FirstParagraph"/>
      </w:pPr>
      <w:r>
        <w:t xml:space="preserve">This Sales Report unequivocally demonstrates how Mason's deep immersion in the United States New York City ecosystem drives exceptional results. His performance exceeds both quantitative targets and qualitative market penetration goals, establishing a new benchmark for sales excellence in our most demanding territory. As we move toward the holiday season—a critical revenue period for NYC retail—Mason's strategies provide a replicable blueprint for sustained growth across all major urban markets.</w:t>
      </w:r>
    </w:p>
    <w:p>
      <w:pPr>
        <w:pStyle w:val="BodyText"/>
      </w:pPr>
      <w:r>
        <w:rPr>
          <w:iCs/>
          <w:i/>
        </w:rPr>
        <w:t xml:space="preserve">Prepared by:</w:t>
      </w:r>
      <w:r>
        <w:br/>
      </w:r>
      <w:r>
        <w:t xml:space="preserve">Mary Chen, Director of Sales Operations</w:t>
      </w:r>
      <w:r>
        <w:br/>
      </w:r>
      <w:r>
        <w:t xml:space="preserve">Global Consumer Division | New York Office</w:t>
      </w:r>
    </w:p>
    <w:bookmarkStart w:id="27" w:name="key-takeaway-for-executive-leadership"/>
    <w:p>
      <w:pPr>
        <w:pStyle w:val="Heading3"/>
      </w:pPr>
      <w:r>
        <w:t xml:space="preserve">Key Takeaway for Executive Leadership</w:t>
      </w:r>
    </w:p>
    <w:p>
      <w:pPr>
        <w:pStyle w:val="FirstParagraph"/>
      </w:pPr>
      <w:r>
        <w:t xml:space="preserve">Mason is not merely a high-performing sales representative—he is an architect of market strategy. His success in United States New York City proves that deep local engagement, combined with data-driven agility, generates disproportionate returns in complex urban markets. Investing in replicating this model across our 12 major U.S. cities would position us to capture $48M+ in new revenue by 2025.</w:t>
      </w:r>
    </w:p>
    <w:bookmarkEnd w:id="27"/>
    <w:p>
      <w:pPr>
        <w:pStyle w:val="BodyText"/>
      </w:pPr>
      <w:r>
        <w:t xml:space="preserve">This Sales Report was generated for internal use only. All figures verified against NYC Department of Commerce data and internal Salesforce analytics as of October 15,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Mason's Performance in United States New York City</dc:title>
  <dc:creator/>
  <dc:language>en</dc:language>
  <cp:keywords/>
  <dcterms:created xsi:type="dcterms:W3CDTF">2026-07-24T14:28:03Z</dcterms:created>
  <dcterms:modified xsi:type="dcterms:W3CDTF">2026-07-24T14:28:03Z</dcterms:modified>
</cp:coreProperties>
</file>

<file path=docProps/custom.xml><?xml version="1.0" encoding="utf-8"?>
<Properties xmlns="http://schemas.openxmlformats.org/officeDocument/2006/custom-properties" xmlns:vt="http://schemas.openxmlformats.org/officeDocument/2006/docPropsVTypes"/>
</file>