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Mathematical</w:t>
      </w:r>
      <w:r>
        <w:t xml:space="preserve"> </w:t>
      </w:r>
      <w:r>
        <w:t xml:space="preserve">Education</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7" w:name="Xed97820cb027c1a3a1ff9f5086dd44e7f16fd9e"/>
    <w:p>
      <w:pPr>
        <w:pStyle w:val="Heading1"/>
      </w:pPr>
      <w:r>
        <w:t xml:space="preserve">SALES REPORT: MATHEMATICAL EDUCATION SERVICES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Partnerships Board</w:t>
      </w:r>
      <w:r>
        <w:br/>
      </w:r>
      <w:r>
        <w:rPr>
          <w:bCs/>
          <w:b/>
        </w:rPr>
        <w:t xml:space="preserve">Prepared By:</w:t>
      </w:r>
      <w:r>
        <w:t xml:space="preserve"> </w:t>
      </w:r>
      <w:r>
        <w:t xml:space="preserve">Regional Sales &amp; Development Team, Central Asia Division</w:t>
      </w:r>
    </w:p>
    <w:bookmarkStart w:id="20" w:name="i.-executive-summary"/>
    <w:p>
      <w:pPr>
        <w:pStyle w:val="Heading2"/>
      </w:pPr>
      <w:r>
        <w:t xml:space="preserve">I. Executive Summary</w:t>
      </w:r>
    </w:p>
    <w:p>
      <w:pPr>
        <w:pStyle w:val="FirstParagraph"/>
      </w:pPr>
      <w:r>
        <w:t xml:space="preserve">This Sales Report details the strategic implementation and market response for our Mathematical Education Support Program in Kabul, Afghanistan. Despite initial misconceptions about "selling a Mathematician" (a profession, not a product), we have successfully pivoted to delivering high-impact mathematical training services tailored to Kabul's educational landscape. The program—comprising certified instructor deployment, digital learning modules, and curriculum development—has secured 12 institutional partnerships across Kabul within Q3 2023, exceeding sales targets by 47%. This report confirms that demand for scalable mathematical expertise in Afghanistan is robust when framed as a service solution rather than a commodity. All efforts remain anchored to the core objectives of empowering educators and students in Kabul under current socio-economic conditions.</w:t>
      </w:r>
    </w:p>
    <w:bookmarkEnd w:id="20"/>
    <w:bookmarkStart w:id="21" w:name="X0c43fcaefa3a89cbf14de06706352a80015fc5e"/>
    <w:p>
      <w:pPr>
        <w:pStyle w:val="Heading2"/>
      </w:pPr>
      <w:r>
        <w:t xml:space="preserve">II. Market Context: The Demand for Mathematical Expertise in Kabul</w:t>
      </w:r>
    </w:p>
    <w:p>
      <w:pPr>
        <w:pStyle w:val="FirstParagraph"/>
      </w:pPr>
      <w:r>
        <w:t xml:space="preserve">Kabul, as Afghanistan's capital city, faces acute challenges in STEM education. According to UNESCO (2023), only 18% of secondary schools in Kabul offer functional mathematics instruction due to teacher shortages and resource constraints. The Taliban’s recent educational policies have further restricted access for girls, creating an urgent need for certified female mathematicians to deliver remote and community-based training. Our Sales Report identifies that Afghan institutions urgently seek "Mathematician" capabilities—not as individuals, but as embedded services: 83% of surveyed schools (n=42) requested structured math curriculum support, while 67% emphasized the need for culturally adapted digital tools to bypass infrastructure gaps like unreliable electricity.</w:t>
      </w:r>
    </w:p>
    <w:p>
      <w:pPr>
        <w:pStyle w:val="BodyText"/>
      </w:pPr>
      <w:r>
        <w:t xml:space="preserve">Crucially, our sales data reveals that local stakeholders consistently use "Mathematician" to denote *mathematical expertise* in their communications. For instance, a Kabul University representative stated: "We need a Mathematician who understands our context." This linguistic nuance guided our repositioning of services around mathematical proficiency delivery—not person-based transactions. In Afghanistan Kabul, the term has become shorthand for trusted expertise; we leveraged this to build client trust.</w:t>
      </w:r>
    </w:p>
    <w:bookmarkEnd w:id="21"/>
    <w:bookmarkStart w:id="22" w:name="iii.-sales-strategy-service-offerings"/>
    <w:p>
      <w:pPr>
        <w:pStyle w:val="Heading2"/>
      </w:pPr>
      <w:r>
        <w:t xml:space="preserve">III. Sales Strategy &amp; Service Offerings</w:t>
      </w:r>
    </w:p>
    <w:p>
      <w:pPr>
        <w:pStyle w:val="FirstParagraph"/>
      </w:pPr>
      <w:r>
        <w:t xml:space="preserve">Rather than selling an unworkable product ("Mathematician"), we developed a three-pillar service model sold to Kabul-based institutions:</w:t>
      </w:r>
    </w:p>
    <w:p>
      <w:pPr>
        <w:numPr>
          <w:ilvl w:val="0"/>
          <w:numId w:val="1001"/>
        </w:numPr>
        <w:pStyle w:val="Compact"/>
      </w:pPr>
      <w:r>
        <w:rPr>
          <w:bCs/>
          <w:b/>
        </w:rPr>
        <w:t xml:space="preserve">On-Demand Mathematics Instructor Deployment:</w:t>
      </w:r>
      <w:r>
        <w:t xml:space="preserve"> </w:t>
      </w:r>
      <w:r>
        <w:t xml:space="preserve">Certified educators (85% Afghan, 40% women) trained in contextualized teaching methods. For example, deploying a female mathematician to teach 150 girls at the Karte Parwan Girls' School reduced absenteeism by 33% in Q3.</w:t>
      </w:r>
    </w:p>
    <w:p>
      <w:pPr>
        <w:numPr>
          <w:ilvl w:val="0"/>
          <w:numId w:val="1001"/>
        </w:numPr>
        <w:pStyle w:val="Compact"/>
      </w:pPr>
      <w:r>
        <w:rPr>
          <w:bCs/>
          <w:b/>
        </w:rPr>
        <w:t xml:space="preserve">Digital Math Kits (Offline-Optimized):</w:t>
      </w:r>
      <w:r>
        <w:t xml:space="preserve"> </w:t>
      </w:r>
      <w:r>
        <w:t xml:space="preserve">Solar-powered tablets with pre-loaded curriculum aligned with Afghanistan’s national standards. Sold at $25/unit to schools; 200 kits sold in Kabul alone.</w:t>
      </w:r>
    </w:p>
    <w:p>
      <w:pPr>
        <w:numPr>
          <w:ilvl w:val="0"/>
          <w:numId w:val="1001"/>
        </w:numPr>
        <w:pStyle w:val="Compact"/>
      </w:pPr>
      <w:r>
        <w:rPr>
          <w:bCs/>
          <w:b/>
        </w:rPr>
        <w:t xml:space="preserve">Teacher Capacity Building Workshops:</w:t>
      </w:r>
      <w:r>
        <w:t xml:space="preserve"> </w:t>
      </w:r>
      <w:r>
        <w:t xml:space="preserve">"Train-the-Trainer" sessions for local educators. Our workshop at Kabul Polytechnic University (attended by 47 teachers) generated $18,500 in direct sales and 92% renewal interest.</w:t>
      </w:r>
    </w:p>
    <w:p>
      <w:pPr>
        <w:pStyle w:val="FirstParagraph"/>
      </w:pPr>
      <w:r>
        <w:t xml:space="preserve">This approach directly addressed Kabul’s needs: The digital kits function without internet (critical given Afghanistan's 65% mobile data cost burden), while instructor deployment prioritizes women’s safety—addressing a key barrier to female math education in Kabul.</w:t>
      </w:r>
    </w:p>
    <w:bookmarkEnd w:id="22"/>
    <w:bookmarkStart w:id="23" w:name="iv.-sales-performance-q3-2023-highlights"/>
    <w:p>
      <w:pPr>
        <w:pStyle w:val="Heading2"/>
      </w:pPr>
      <w:r>
        <w:t xml:space="preserve">IV. Sales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Volume (Kabul)</w:t>
            </w:r>
          </w:p>
        </w:tc>
        <w:tc>
          <w:tcPr/>
          <w:p>
            <w:pPr>
              <w:pStyle w:val="Compact"/>
              <w:jc w:val="left"/>
            </w:pPr>
            <w:r>
              <w:t xml:space="preserve">Revenue Generated</w:t>
            </w:r>
          </w:p>
        </w:tc>
        <w:tc>
          <w:tcPr/>
          <w:p>
            <w:pPr>
              <w:pStyle w:val="Compact"/>
              <w:jc w:val="left"/>
            </w:pPr>
            <w:r>
              <w:t xml:space="preserve">Client Institutions Served</w:t>
            </w:r>
          </w:p>
        </w:tc>
      </w:tr>
      <w:tr>
        <w:tc>
          <w:tcPr/>
          <w:p>
            <w:pPr>
              <w:pStyle w:val="Compact"/>
              <w:jc w:val="left"/>
            </w:pPr>
            <w:r>
              <w:t xml:space="preserve">Instructor Deployment (Female Focus)</w:t>
            </w:r>
          </w:p>
        </w:tc>
        <w:tc>
          <w:tcPr/>
          <w:p>
            <w:pPr>
              <w:pStyle w:val="Compact"/>
              <w:jc w:val="left"/>
            </w:pPr>
            <w:r>
              <w:t xml:space="preserve">37 contracts</w:t>
            </w:r>
          </w:p>
        </w:tc>
        <w:tc>
          <w:tcPr/>
          <w:p>
            <w:pPr>
              <w:pStyle w:val="Compact"/>
              <w:jc w:val="left"/>
            </w:pPr>
            <w:r>
              <w:t xml:space="preserve">$41,250</w:t>
            </w:r>
          </w:p>
        </w:tc>
        <w:tc>
          <w:tcPr/>
          <w:p>
            <w:pPr>
              <w:pStyle w:val="Compact"/>
              <w:jc w:val="left"/>
            </w:pPr>
            <w:r>
              <w:t xml:space="preserve">Kabul University, 18 schools</w:t>
            </w:r>
          </w:p>
        </w:tc>
      </w:tr>
      <w:tr>
        <w:tc>
          <w:tcPr/>
          <w:p>
            <w:pPr>
              <w:pStyle w:val="Compact"/>
              <w:jc w:val="left"/>
            </w:pPr>
            <w:r>
              <w:t xml:space="preserve">Digital Math Kits</w:t>
            </w:r>
          </w:p>
        </w:tc>
        <w:tc>
          <w:tcPr/>
          <w:p>
            <w:pPr>
              <w:pStyle w:val="Compact"/>
              <w:jc w:val="left"/>
            </w:pPr>
            <w:r>
              <w:t xml:space="preserve">200 units</w:t>
            </w:r>
          </w:p>
        </w:tc>
        <w:tc>
          <w:tcPr/>
          <w:p>
            <w:pPr>
              <w:pStyle w:val="Compact"/>
              <w:jc w:val="left"/>
            </w:pPr>
            <w:r>
              <w:t xml:space="preserve">$5,000 (bulk discount)</w:t>
            </w:r>
          </w:p>
        </w:tc>
        <w:tc>
          <w:tcPr/>
          <w:p>
            <w:pPr>
              <w:pStyle w:val="Compact"/>
              <w:jc w:val="left"/>
            </w:pPr>
            <w:r>
              <w:t xml:space="preserve">9 public schools, 2 NGOs</w:t>
            </w:r>
          </w:p>
        </w:tc>
      </w:tr>
      <w:tr>
        <w:tc>
          <w:tcPr/>
          <w:p>
            <w:pPr>
              <w:pStyle w:val="Compact"/>
              <w:jc w:val="left"/>
            </w:pPr>
            <w:r>
              <w:t xml:space="preserve">Workshop Programs</w:t>
            </w:r>
          </w:p>
        </w:tc>
        <w:tc>
          <w:tcPr/>
          <w:p>
            <w:pPr>
              <w:pStyle w:val="Compact"/>
              <w:jc w:val="left"/>
            </w:pPr>
            <w:r>
              <w:t xml:space="preserve">3 sessions</w:t>
            </w:r>
          </w:p>
        </w:tc>
        <w:tc>
          <w:tcPr/>
          <w:p>
            <w:pPr>
              <w:pStyle w:val="Compact"/>
              <w:jc w:val="left"/>
            </w:pPr>
            <w:r>
              <w:t xml:space="preserve">$18,500</w:t>
            </w:r>
          </w:p>
        </w:tc>
        <w:tc>
          <w:tcPr/>
          <w:p>
            <w:pPr>
              <w:pStyle w:val="Compact"/>
              <w:jc w:val="left"/>
            </w:pPr>
            <w:r>
              <w:t xml:space="preserve">Kabul Polytechnic, Ministry of Education partners</w:t>
            </w:r>
          </w:p>
        </w:tc>
      </w:tr>
      <w:tr>
        <w:tc>
          <w:tcPr/>
          <w:p>
            <w:pPr>
              <w:pStyle w:val="Compact"/>
              <w:jc w:val="left"/>
            </w:pPr>
            <w:r>
              <w:rPr>
                <w:bCs/>
                <w:b/>
              </w:rPr>
              <w:t xml:space="preserve">Total Sales (Kabul)</w:t>
            </w:r>
          </w:p>
        </w:tc>
        <w:tc>
          <w:tcPr/>
          <w:p>
            <w:pPr>
              <w:pStyle w:val="Compact"/>
              <w:jc w:val="left"/>
            </w:pPr>
            <w:r>
              <w:rPr>
                <w:bCs/>
                <w:b/>
              </w:rPr>
              <w:t xml:space="preserve">240+ engagements</w:t>
            </w:r>
          </w:p>
        </w:tc>
        <w:tc>
          <w:tcPr/>
          <w:p>
            <w:pPr>
              <w:pStyle w:val="Compact"/>
              <w:jc w:val="left"/>
            </w:pPr>
            <w:r>
              <w:rPr>
                <w:bCs/>
                <w:b/>
              </w:rPr>
              <w:t xml:space="preserve">$64,750</w:t>
            </w:r>
          </w:p>
        </w:tc>
        <w:tc>
          <w:tcPr/>
          <w:p>
            <w:pPr>
              <w:pStyle w:val="Compact"/>
              <w:jc w:val="left"/>
            </w:pPr>
            <w:r>
              <w:rPr>
                <w:bCs/>
                <w:b/>
              </w:rPr>
              <w:t xml:space="preserve">15 institutions</w:t>
            </w:r>
          </w:p>
        </w:tc>
      </w:tr>
    </w:tbl>
    <w:p>
      <w:pPr>
        <w:pStyle w:val="BodyText"/>
      </w:pPr>
      <w:r>
        <w:t xml:space="preserve">Our sales conversion rate reached 78%—significantly higher than the regional average of 52%. This success stems from our focus on "Mathematician" as a *service outcome*: clients paid for measurable improvements in math proficiency, not abstract expertise. For instance, the Karte Parwan Girls' School saw a 41% rise in algebra pass rates after our instructor deployment—proof that mathematical capability delivers tangible results.</w:t>
      </w:r>
    </w:p>
    <w:bookmarkEnd w:id="23"/>
    <w:bookmarkStart w:id="24" w:name="X8ebfcbfd0245c38023fb2717ea70bc66a74c60f"/>
    <w:p>
      <w:pPr>
        <w:pStyle w:val="Heading2"/>
      </w:pPr>
      <w:r>
        <w:t xml:space="preserve">V. Challenges &amp; Adaptation in Afghanistan Kabul</w:t>
      </w:r>
    </w:p>
    <w:p>
      <w:pPr>
        <w:pStyle w:val="FirstParagraph"/>
      </w:pPr>
      <w:r>
        <w:t xml:space="preserve">Operating in Kabul presented unique hurdles. Security constraints limited field visits, requiring us to shift to video-based training for 80% of workshops. We also adjusted pricing for cash-based transactions (common in Afghan schools) by introducing a $5/month payment plan for digital kits. Crucially, we learned that "Mathematician" references were often cultural—many clients used it as a respectful term for educators, not literally. By embracing this nuance in our sales language ("We provide Mathematician-level expertise"), we built rapport without misleading stakeholders.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confirms sustained demand: 89% of current clients in Kabul plan to expand services in 2024, with priority on female-led math programs. We recommend:</w:t>
      </w:r>
    </w:p>
    <w:p>
      <w:pPr>
        <w:numPr>
          <w:ilvl w:val="0"/>
          <w:numId w:val="1002"/>
        </w:numPr>
        <w:pStyle w:val="Compact"/>
      </w:pPr>
      <w:r>
        <w:rPr>
          <w:bCs/>
          <w:b/>
        </w:rPr>
        <w:t xml:space="preserve">Scaling Female Mathematician Recruitment:</w:t>
      </w:r>
      <w:r>
        <w:t xml:space="preserve"> </w:t>
      </w:r>
      <w:r>
        <w:t xml:space="preserve">Partner with Kabul-based NGOs (e.g., ZOA) to train 50+ women as certified instructors by Q1 2024.</w:t>
      </w:r>
    </w:p>
    <w:p>
      <w:pPr>
        <w:numPr>
          <w:ilvl w:val="0"/>
          <w:numId w:val="1002"/>
        </w:numPr>
        <w:pStyle w:val="Compact"/>
      </w:pPr>
      <w:r>
        <w:rPr>
          <w:bCs/>
          <w:b/>
        </w:rPr>
        <w:t xml:space="preserve">Government Collaboration:</w:t>
      </w:r>
      <w:r>
        <w:t xml:space="preserve"> </w:t>
      </w:r>
      <w:r>
        <w:t xml:space="preserve">Pursue a pilot with the Ministry of Education to integrate our digital kits into state curriculum, targeting 500 schools nationwide.</w:t>
      </w:r>
    </w:p>
    <w:p>
      <w:pPr>
        <w:numPr>
          <w:ilvl w:val="0"/>
          <w:numId w:val="1002"/>
        </w:numPr>
        <w:pStyle w:val="Compact"/>
      </w:pPr>
      <w:r>
        <w:rPr>
          <w:bCs/>
          <w:b/>
        </w:rPr>
        <w:t xml:space="preserve">Sustainability Focus:</w:t>
      </w:r>
      <w:r>
        <w:t xml:space="preserve"> </w:t>
      </w:r>
      <w:r>
        <w:t xml:space="preserve">Develop local repair networks for digital kits in Kabul to reduce dependency on imports (addressing Afghanistan’s high import tax rates).</w:t>
      </w:r>
    </w:p>
    <w:p>
      <w:pPr>
        <w:pStyle w:val="FirstParagraph"/>
      </w:pPr>
      <w:r>
        <w:t xml:space="preserve">In summary, this Sales Report underscores that "Mathematician" as a sales concept must be reframed for Afghanistan Kabul: it is not the person being sold, but the *mathematical capability delivered*. Our $64,750 Q3 revenue in Kabul proves that when services align with local context—leveraging cultural language around expertise and addressing infrastructural realities—the market responds decisively. We are poised to become Afghanistan’s leading provider of scalable mathematical education solutions, transforming "Mathematician" from a misunderstood term into a symbol of educational advancement for Kabul.</w:t>
      </w:r>
    </w:p>
    <w:bookmarkEnd w:id="25"/>
    <w:bookmarkStart w:id="26" w:name="vii.-conclusion"/>
    <w:p>
      <w:pPr>
        <w:pStyle w:val="Heading2"/>
      </w:pPr>
      <w:r>
        <w:t xml:space="preserve">VII. Conclusion</w:t>
      </w:r>
    </w:p>
    <w:p>
      <w:pPr>
        <w:pStyle w:val="FirstParagraph"/>
      </w:pPr>
      <w:r>
        <w:t xml:space="preserve">The success in Kabul demonstrates that sales strategies must respect regional linguistic and socio-economic realities. By embracing "Mathematician" as shorthand for *mathematical service excellence*—not a physical product—we’ve turned a potential misunderstanding into our strongest sales differentiator. With Afghanistan Kabul’s education sector at an inflection point, our services are no longer just desired; they’re essential to rebuilding the nation’s intellectual capacity. We project 200% revenue growth in this segment by Q4 2024 through strategic partnerships rooted in authentic understanding of Kabul’s needs.</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Mathematical Education Services in Kabul, Afghanistan</dc:title>
  <dc:creator/>
  <cp:keywords/>
  <dcterms:created xsi:type="dcterms:W3CDTF">2025-12-09T16:07:38Z</dcterms:created>
  <dcterms:modified xsi:type="dcterms:W3CDTF">2025-12-09T16:07:38Z</dcterms:modified>
</cp:coreProperties>
</file>

<file path=docProps/custom.xml><?xml version="1.0" encoding="utf-8"?>
<Properties xmlns="http://schemas.openxmlformats.org/officeDocument/2006/custom-properties" xmlns:vt="http://schemas.openxmlformats.org/officeDocument/2006/docPropsVTypes"/>
</file>