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Mathematician</w:t>
      </w:r>
      <w:r>
        <w:t xml:space="preserve"> </w:t>
      </w:r>
      <w:r>
        <w:t xml:space="preserve">Software</w:t>
      </w:r>
      <w:r>
        <w:t xml:space="preserve"> </w:t>
      </w:r>
      <w:r>
        <w:t xml:space="preserve">Suite</w:t>
      </w:r>
      <w:r>
        <w:t xml:space="preserve"> </w:t>
      </w:r>
      <w:r>
        <w:t xml:space="preserve">-</w:t>
      </w:r>
      <w:r>
        <w:t xml:space="preserve"> </w:t>
      </w:r>
      <w:r>
        <w:t xml:space="preserve">Belgium</w:t>
      </w:r>
      <w:r>
        <w:t xml:space="preserve"> </w:t>
      </w:r>
      <w:r>
        <w:t xml:space="preserve">Brussels</w:t>
      </w:r>
      <w:r>
        <w:t xml:space="preserve"> </w:t>
      </w:r>
      <w:r>
        <w:t xml:space="preserve">Market</w:t>
      </w:r>
    </w:p>
    <w:bookmarkStart w:id="27" w:name="Xa7e370928ede0891771305e42728ec3b6b3e129"/>
    <w:p>
      <w:pPr>
        <w:pStyle w:val="Heading1"/>
      </w:pPr>
      <w:r>
        <w:t xml:space="preserve">Annual Sales Report: Mathematician Software Suite - Belgium Brussels Market (2023)</w:t>
      </w:r>
    </w:p>
    <w:p>
      <w:pPr>
        <w:pStyle w:val="FirstParagraph"/>
      </w:pPr>
      <w:r>
        <w:rPr>
          <w:bCs/>
          <w:b/>
        </w:rPr>
        <w:t xml:space="preserve">Prepared for:</w:t>
      </w:r>
      <w:r>
        <w:t xml:space="preserve"> </w:t>
      </w:r>
      <w:r>
        <w:t xml:space="preserve">Executive Leadership, Global Sales Division</w:t>
      </w:r>
      <w:r>
        <w:br/>
      </w:r>
      <w:r>
        <w:rPr>
          <w:bCs/>
          <w:b/>
        </w:rPr>
        <w:t xml:space="preserve">Date:</w:t>
      </w:r>
      <w:r>
        <w:t xml:space="preserve"> </w:t>
      </w:r>
      <w:r>
        <w:t xml:space="preserve">October 26, 2023</w:t>
      </w:r>
      <w:r>
        <w:br/>
      </w:r>
      <w:r>
        <w:rPr>
          <w:bCs/>
          <w:b/>
        </w:rPr>
        <w:t xml:space="preserve">Region Covered:</w:t>
      </w:r>
      <w:r>
        <w:t xml:space="preserve"> </w:t>
      </w:r>
      <w:r>
        <w:t xml:space="preserve">Belgium Brussels Metropolitan Area</w:t>
      </w:r>
    </w:p>
    <w:bookmarkStart w:id="20" w:name="i.-executive-summary"/>
    <w:p>
      <w:pPr>
        <w:pStyle w:val="Heading2"/>
      </w:pPr>
      <w:r>
        <w:t xml:space="preserve">I. Executive Summary</w:t>
      </w:r>
    </w:p>
    <w:p>
      <w:pPr>
        <w:pStyle w:val="FirstParagraph"/>
      </w:pPr>
      <w:r>
        <w:t xml:space="preserve">This comprehensive Sales Report details the performance of the</w:t>
      </w:r>
      <w:r>
        <w:t xml:space="preserve"> </w:t>
      </w:r>
      <w:r>
        <w:rPr>
          <w:iCs/>
          <w:i/>
        </w:rPr>
        <w:t xml:space="preserve">Mathematician</w:t>
      </w:r>
      <w:r>
        <w:t xml:space="preserve">, our advanced computational mathematics and data analytics software suite, across the critical market of Belgium Brussels. The region demonstrated exceptional growth in Q3 and Q4 2023, with a 37% year-over-year increase in enterprise licenses and a significant expansion into key educational institutions. The</w:t>
      </w:r>
      <w:r>
        <w:t xml:space="preserve"> </w:t>
      </w:r>
      <w:r>
        <w:rPr>
          <w:iCs/>
          <w:i/>
        </w:rPr>
        <w:t xml:space="preserve">Mathematician</w:t>
      </w:r>
      <w:r>
        <w:t xml:space="preserve"> </w:t>
      </w:r>
      <w:r>
        <w:t xml:space="preserve">platform has become indispensable for data-driven decision-making within the Brussels ecosystem, aligning perfectly with the region's status as the de facto capital of European Union governance and innovation. This report confirms that our strategic focus on Belgium Brussels was not only successful but has established a formidable market leadership position in this pivotal EU hub.</w:t>
      </w:r>
    </w:p>
    <w:bookmarkEnd w:id="20"/>
    <w:bookmarkStart w:id="21" w:name="X12f6692f8aea7073c1457d0f0894c93d7ea2b01"/>
    <w:p>
      <w:pPr>
        <w:pStyle w:val="Heading2"/>
      </w:pPr>
      <w:r>
        <w:t xml:space="preserve">II. Market Context: Belgium Brussels - The Nexus for Mathematical Innovation</w:t>
      </w:r>
    </w:p>
    <w:p>
      <w:pPr>
        <w:pStyle w:val="FirstParagraph"/>
      </w:pPr>
      <w:r>
        <w:t xml:space="preserve">Belgium, particularly the Brussels Capital Region, represents a unique and highly strategic market for mathematical software solutions. As the political and administrative heart of the European Union, Brussels hosts over 70 EU institutions (including the European Commission, Council of Ministers), numerous international NGOs (e.g., NATO Secretariat), and a dense concentration of R&amp;D centers. This environment demands cutting-edge tools for complex data modeling, statistical analysis, and algorithmic development – precisely what</w:t>
      </w:r>
      <w:r>
        <w:t xml:space="preserve"> </w:t>
      </w:r>
      <w:r>
        <w:rPr>
          <w:iCs/>
          <w:i/>
        </w:rPr>
        <w:t xml:space="preserve">Mathematician</w:t>
      </w:r>
      <w:r>
        <w:t xml:space="preserve"> </w:t>
      </w:r>
      <w:r>
        <w:t xml:space="preserve">delivers. The region's robust educational infrastructure (KU Leuven, Université libre de Bruxelles, VUB) further fuels demand for advanced mathematical software at both academic and research levels. Our Sales Report clearly identifies Brussels as the single most valuable metro market in Benelux for</w:t>
      </w:r>
      <w:r>
        <w:t xml:space="preserve"> </w:t>
      </w:r>
      <w:r>
        <w:rPr>
          <w:iCs/>
          <w:i/>
        </w:rPr>
        <w:t xml:space="preserve">Mathematician</w:t>
      </w:r>
      <w:r>
        <w:t xml:space="preserve">, contributing 28% of total Belgium revenue.</w:t>
      </w:r>
    </w:p>
    <w:bookmarkEnd w:id="21"/>
    <w:bookmarkStart w:id="22" w:name="X390dcc4a330e4abde4e9daae12b60e87e84fedc"/>
    <w:p>
      <w:pPr>
        <w:pStyle w:val="Heading2"/>
      </w:pPr>
      <w:r>
        <w:t xml:space="preserve">III. Key Performance Indicators (Q4 2023 - Belgium Brussels)</w:t>
      </w:r>
    </w:p>
    <w:p>
      <w:pPr>
        <w:pStyle w:val="FirstParagraph"/>
      </w:pPr>
      <w:r>
        <w:t xml:space="preserve">Indicator</w:t>
      </w:r>
    </w:p>
    <w:p>
      <w:pPr>
        <w:pStyle w:val="BodyText"/>
      </w:pPr>
      <w:r>
        <w:t xml:space="preserve">Q4 2023</w:t>
      </w:r>
    </w:p>
    <w:p>
      <w:pPr>
        <w:pStyle w:val="BodyText"/>
      </w:pPr>
      <w:r>
        <w:t xml:space="preserve">Q4 2022</w:t>
      </w:r>
    </w:p>
    <w:p>
      <w:pPr>
        <w:pStyle w:val="BodyText"/>
      </w:pPr>
      <w:r>
        <w:t xml:space="preserve">% Change</w:t>
      </w:r>
    </w:p>
    <w:p>
      <w:pPr>
        <w:pStyle w:val="BodyText"/>
      </w:pPr>
      <w:r>
        <w:t xml:space="preserve">Total Licenses Sold (Enterprise)</w:t>
      </w:r>
    </w:p>
    <w:p>
      <w:pPr>
        <w:pStyle w:val="BodyText"/>
      </w:pPr>
      <w:r>
        <w:t xml:space="preserve">117</w:t>
      </w:r>
    </w:p>
    <w:p>
      <w:pPr>
        <w:pStyle w:val="BodyText"/>
      </w:pPr>
      <w:r>
        <w:t xml:space="preserve">85</w:t>
      </w:r>
    </w:p>
    <w:p>
      <w:pPr>
        <w:pStyle w:val="BodyText"/>
      </w:pPr>
      <w:r>
        <w:t xml:space="preserve">+37.6%</w:t>
      </w:r>
    </w:p>
    <w:p>
      <w:pPr>
        <w:pStyle w:val="BodyText"/>
      </w:pPr>
      <w:r>
        <w:t xml:space="preserve">Average Deal Size (EUR)</w:t>
      </w:r>
    </w:p>
    <w:p>
      <w:pPr>
        <w:pStyle w:val="BodyText"/>
      </w:pPr>
      <w:r>
        <w:t xml:space="preserve">48,200</w:t>
      </w:r>
    </w:p>
    <w:p>
      <w:pPr>
        <w:pStyle w:val="BodyText"/>
      </w:pPr>
      <w:r>
        <w:t xml:space="preserve">&lt;</w:t>
      </w:r>
    </w:p>
    <w:p>
      <w:pPr>
        <w:pStyle w:val="BodyText"/>
      </w:pPr>
      <w:r>
        <w:t xml:space="preserve">42,500</w:t>
      </w:r>
    </w:p>
    <w:p>
      <w:pPr>
        <w:pStyle w:val="BodyText"/>
      </w:pPr>
      <w:r>
        <w:t xml:space="preserve">Total Revenue (Brussels)</w:t>
      </w:r>
    </w:p>
    <w:p>
      <w:pPr>
        <w:pStyle w:val="BodyText"/>
      </w:pPr>
      <w:r>
        <w:t xml:space="preserve">5,639,400 EUR</w:t>
      </w:r>
    </w:p>
    <w:p>
      <w:pPr>
        <w:pStyle w:val="BodyText"/>
      </w:pPr>
      <w:r>
        <w:t xml:space="preserve">3,117,500 EUR</w:t>
      </w:r>
    </w:p>
    <w:p>
      <w:pPr>
        <w:pStyle w:val="BodyText"/>
      </w:pPr>
      <w:r>
        <w:t xml:space="preserve">+81.2%</w:t>
      </w:r>
    </w:p>
    <w:p>
      <w:pPr>
        <w:pStyle w:val="BodyText"/>
      </w:pPr>
      <w:r>
        <w:t xml:space="preserve">New Educational Institutions Acquired</w:t>
      </w:r>
    </w:p>
    <w:p>
      <w:pPr>
        <w:pStyle w:val="BodyText"/>
      </w:pPr>
      <w:r>
        <w:t xml:space="preserve">9</w:t>
      </w:r>
    </w:p>
    <w:p>
      <w:pPr>
        <w:pStyle w:val="BodyText"/>
      </w:pPr>
      <w:r>
        <w:t xml:space="preserve">4</w:t>
      </w:r>
    </w:p>
    <w:p>
      <w:pPr>
        <w:pStyle w:val="BodyText"/>
      </w:pPr>
      <w:r>
        <w:t xml:space="preserve">+125%</w:t>
      </w:r>
    </w:p>
    <w:p>
      <w:pPr>
        <w:pStyle w:val="BodyText"/>
      </w:pPr>
      <w:r>
        <w:t xml:space="preserve">Customer Retention Rate (Enterprise)</w:t>
      </w:r>
    </w:p>
    <w:p>
      <w:pPr>
        <w:pStyle w:val="BodyText"/>
      </w:pPr>
      <w:r>
        <w:t xml:space="preserve">The 81.2% revenue surge in Brussels is the strongest regional performance globally for the year. This growth was driven by three core segments:</w:t>
      </w:r>
    </w:p>
    <w:p>
      <w:pPr>
        <w:numPr>
          <w:ilvl w:val="0"/>
          <w:numId w:val="1001"/>
        </w:numPr>
        <w:pStyle w:val="Compact"/>
      </w:pPr>
      <w:r>
        <w:rPr>
          <w:bCs/>
          <w:b/>
        </w:rPr>
        <w:t xml:space="preserve">EU Institutions &amp; Public Sector:</w:t>
      </w:r>
      <w:r>
        <w:t xml:space="preserve"> </w:t>
      </w:r>
      <w:r>
        <w:t xml:space="preserve">Secured contracts with 3 major EU directorates (including DG-STAT and DG-RTD) for large-scale data analytics, representing €1.8M in new business.</w:t>
      </w:r>
    </w:p>
    <w:p>
      <w:pPr>
        <w:numPr>
          <w:ilvl w:val="0"/>
          <w:numId w:val="1001"/>
        </w:numPr>
        <w:pStyle w:val="Compact"/>
      </w:pPr>
      <w:r>
        <w:rPr>
          <w:bCs/>
          <w:b/>
        </w:rPr>
        <w:t xml:space="preserve">Higher Education:</w:t>
      </w:r>
      <w:r>
        <w:t xml:space="preserve"> </w:t>
      </w:r>
      <w:r>
        <w:t xml:space="preserve">Expanded partnerships across 7 universities and research institutes (including ULiège and KU Leuven), capturing 22% market share in the Belgian academic mathematics software sector.</w:t>
      </w:r>
    </w:p>
    <w:p>
      <w:pPr>
        <w:numPr>
          <w:ilvl w:val="0"/>
          <w:numId w:val="1001"/>
        </w:numPr>
        <w:pStyle w:val="Compact"/>
      </w:pPr>
      <w:r>
        <w:rPr>
          <w:bCs/>
          <w:b/>
        </w:rPr>
        <w:t xml:space="preserve">Tech &amp; Consulting Firms:</w:t>
      </w:r>
      <w:r>
        <w:t xml:space="preserve"> </w:t>
      </w:r>
      <w:r>
        <w:t xml:space="preserve">Gained traction with Brussels-based data science consultancies, including major firms like Capgemini Brussels and Accenture Belgium, for client project deployments.</w:t>
      </w:r>
    </w:p>
    <w:bookmarkEnd w:id="22"/>
    <w:bookmarkStart w:id="23" w:name="Xd458c6d236f4d5cef8a14d888b9c63a0f7a6299"/>
    <w:p>
      <w:pPr>
        <w:pStyle w:val="Heading2"/>
      </w:pPr>
      <w:r>
        <w:t xml:space="preserve">IV. Strategic Successes: Why</w:t>
      </w:r>
      <w:r>
        <w:t xml:space="preserve"> </w:t>
      </w:r>
      <w:r>
        <w:rPr>
          <w:iCs/>
          <w:i/>
        </w:rPr>
        <w:t xml:space="preserve">Mathematician</w:t>
      </w:r>
      <w:r>
        <w:t xml:space="preserve"> </w:t>
      </w:r>
      <w:r>
        <w:t xml:space="preserve">Resonates in Belgium Brussels</w:t>
      </w:r>
    </w:p>
    <w:p>
      <w:pPr>
        <w:pStyle w:val="FirstParagraph"/>
      </w:pPr>
      <w:r>
        <w:t xml:space="preserve">The adoption of the</w:t>
      </w:r>
      <w:r>
        <w:t xml:space="preserve"> </w:t>
      </w:r>
      <w:r>
        <w:rPr>
          <w:iCs/>
          <w:i/>
        </w:rPr>
        <w:t xml:space="preserve">Mathematician</w:t>
      </w:r>
      <w:r>
        <w:t xml:space="preserve"> </w:t>
      </w:r>
      <w:r>
        <w:t xml:space="preserve">suite in Belgium Brussels was not accidental. Our sales strategy focused on three pillars:</w:t>
      </w:r>
    </w:p>
    <w:p>
      <w:pPr>
        <w:numPr>
          <w:ilvl w:val="0"/>
          <w:numId w:val="1002"/>
        </w:numPr>
        <w:pStyle w:val="Compact"/>
      </w:pPr>
      <w:r>
        <w:rPr>
          <w:bCs/>
          <w:b/>
        </w:rPr>
        <w:t xml:space="preserve">Native Language &amp; Localization:</w:t>
      </w:r>
      <w:r>
        <w:t xml:space="preserve"> </w:t>
      </w:r>
      <w:r>
        <w:t xml:space="preserve">The software and all support documentation are fully available in both French (Brussels' primary language) and Dutch (Flemish), a critical factor for EU institution procurement. Our local sales team in Brussels, consisting of native speakers, provided tailored demonstrations aligning with Belgian regulatory frameworks.</w:t>
      </w:r>
    </w:p>
    <w:p>
      <w:pPr>
        <w:numPr>
          <w:ilvl w:val="0"/>
          <w:numId w:val="1002"/>
        </w:numPr>
        <w:pStyle w:val="Compact"/>
      </w:pPr>
      <w:r>
        <w:rPr>
          <w:bCs/>
          <w:b/>
        </w:rPr>
        <w:t xml:space="preserve">EU Policy Alignment:</w:t>
      </w:r>
      <w:r>
        <w:t xml:space="preserve"> </w:t>
      </w:r>
      <w:r>
        <w:t xml:space="preserve">We positioned</w:t>
      </w:r>
      <w:r>
        <w:t xml:space="preserve"> </w:t>
      </w:r>
      <w:r>
        <w:rPr>
          <w:iCs/>
          <w:i/>
        </w:rPr>
        <w:t xml:space="preserve">Mathematician</w:t>
      </w:r>
      <w:r>
        <w:t xml:space="preserve"> </w:t>
      </w:r>
      <w:r>
        <w:t xml:space="preserve">as essential for implementing the European Data Strategy and AI Act compliance, directly addressing pain points faced by Brussels-based public bodies. This resonated deeply during our strategic engagements with the Ministry of Digital Affairs.</w:t>
      </w:r>
    </w:p>
    <w:p>
      <w:pPr>
        <w:numPr>
          <w:ilvl w:val="0"/>
          <w:numId w:val="1002"/>
        </w:numPr>
        <w:pStyle w:val="Compact"/>
      </w:pPr>
      <w:r>
        <w:rPr>
          <w:bCs/>
          <w:b/>
        </w:rPr>
        <w:t xml:space="preserve">Talent Integration:</w:t>
      </w:r>
      <w:r>
        <w:t xml:space="preserve"> </w:t>
      </w:r>
      <w:r>
        <w:t xml:space="preserve">Collaborating with Brussels universities to embed</w:t>
      </w:r>
      <w:r>
        <w:t xml:space="preserve"> </w:t>
      </w:r>
      <w:r>
        <w:rPr>
          <w:iCs/>
          <w:i/>
        </w:rPr>
        <w:t xml:space="preserve">Mathematician</w:t>
      </w:r>
      <w:r>
        <w:t xml:space="preserve"> </w:t>
      </w:r>
      <w:r>
        <w:t xml:space="preserve">into curricula created a pipeline of skilled users, ensuring long-term adoption within the region’s mathematical talent pool. This is crucial as Belgium invests heavily in STEM education to support its EU-centric economy.</w:t>
      </w:r>
    </w:p>
    <w:bookmarkEnd w:id="23"/>
    <w:bookmarkStart w:id="24" w:name="v.-challenges-adaptive-strategies"/>
    <w:p>
      <w:pPr>
        <w:pStyle w:val="Heading2"/>
      </w:pPr>
      <w:r>
        <w:t xml:space="preserve">V. Challenges &amp; Adaptive Strategies</w:t>
      </w:r>
    </w:p>
    <w:p>
      <w:pPr>
        <w:pStyle w:val="FirstParagraph"/>
      </w:pPr>
      <w:r>
        <w:t xml:space="preserve">Despite strong growth, challenges emerged:</w:t>
      </w:r>
    </w:p>
    <w:p>
      <w:pPr>
        <w:numPr>
          <w:ilvl w:val="0"/>
          <w:numId w:val="1003"/>
        </w:numPr>
        <w:pStyle w:val="Compact"/>
      </w:pPr>
      <w:r>
        <w:rPr>
          <w:iCs/>
          <w:i/>
        </w:rPr>
        <w:t xml:space="preserve">Complex Procurement Cycles:</w:t>
      </w:r>
      <w:r>
        <w:t xml:space="preserve"> </w:t>
      </w:r>
      <w:r>
        <w:t xml:space="preserve">EU institutions have lengthy tender processes. Our Sales Report notes that we reduced cycle times by 30% through dedicated EU procurement specialists in our Brussels office.</w:t>
      </w:r>
    </w:p>
    <w:p>
      <w:pPr>
        <w:numPr>
          <w:ilvl w:val="0"/>
          <w:numId w:val="1003"/>
        </w:numPr>
        <w:pStyle w:val="Compact"/>
      </w:pPr>
      <w:r>
        <w:rPr>
          <w:iCs/>
          <w:i/>
        </w:rPr>
        <w:t xml:space="preserve">Competitive Pressure:</w:t>
      </w:r>
      <w:r>
        <w:t xml:space="preserve"> </w:t>
      </w:r>
      <w:r>
        <w:t xml:space="preserve">Local competitors attempted to leverage "Belgian-made" claims. We countered with data showing</w:t>
      </w:r>
      <w:r>
        <w:t xml:space="preserve"> </w:t>
      </w:r>
      <w:r>
        <w:rPr>
          <w:iCs/>
          <w:i/>
        </w:rPr>
        <w:t xml:space="preserve">Mathematician</w:t>
      </w:r>
      <w:r>
        <w:t xml:space="preserve">'s superior scalability and integration capabilities with European Union systems (e.g., Eurostat), backed by case studies from our EU client base.</w:t>
      </w:r>
    </w:p>
    <w:bookmarkEnd w:id="24"/>
    <w:bookmarkStart w:id="25" w:name="Xf04903286ca07807139e13b47478f8bd1cc73f8"/>
    <w:p>
      <w:pPr>
        <w:pStyle w:val="Heading2"/>
      </w:pPr>
      <w:r>
        <w:t xml:space="preserve">VI. Future Outlook for Belgium Brussels Market</w:t>
      </w:r>
    </w:p>
    <w:p>
      <w:pPr>
        <w:pStyle w:val="FirstParagraph"/>
      </w:pPr>
      <w:r>
        <w:t xml:space="preserve">The future trajectory for the</w:t>
      </w:r>
      <w:r>
        <w:t xml:space="preserve"> </w:t>
      </w:r>
      <w:r>
        <w:rPr>
          <w:iCs/>
          <w:i/>
        </w:rPr>
        <w:t xml:space="preserve">Mathematician</w:t>
      </w:r>
      <w:r>
        <w:t xml:space="preserve"> </w:t>
      </w:r>
      <w:r>
        <w:t xml:space="preserve">sales in Belgium Brussels is exceptionally bright. Key catalysts include:</w:t>
      </w:r>
    </w:p>
    <w:p>
      <w:pPr>
        <w:numPr>
          <w:ilvl w:val="0"/>
          <w:numId w:val="1004"/>
        </w:numPr>
        <w:pStyle w:val="Compact"/>
      </w:pPr>
      <w:r>
        <w:t xml:space="preserve">The ongoing EU Digital Transformation Fund, allocating €10B+ to data-driven public services.</w:t>
      </w:r>
    </w:p>
    <w:p>
      <w:pPr>
        <w:numPr>
          <w:ilvl w:val="0"/>
          <w:numId w:val="1004"/>
        </w:numPr>
        <w:pStyle w:val="Compact"/>
      </w:pPr>
      <w:r>
        <w:t xml:space="preserve">Bruce’s new National AI Strategy, which explicitly recommends advanced mathematical platforms for public sector innovation.</w:t>
      </w:r>
    </w:p>
    <w:p>
      <w:pPr>
        <w:numPr>
          <w:ilvl w:val="0"/>
          <w:numId w:val="1004"/>
        </w:numPr>
        <w:pStyle w:val="Compact"/>
      </w:pPr>
      <w:r>
        <w:t xml:space="preserve">Our expansion into the booming Brussels FinTech ecosystem (e.g., startups like N26 Belgium), where predictive modeling is critical.</w:t>
      </w:r>
    </w:p>
    <w:p>
      <w:pPr>
        <w:pStyle w:val="FirstParagraph"/>
      </w:pPr>
      <w:r>
        <w:t xml:space="preserve">We project a 45% revenue increase for Belgium Brussels in 2024, with a specific focus on scaling the educational segment and capturing additional EU institution contracts. The success of our</w:t>
      </w:r>
      <w:r>
        <w:t xml:space="preserve"> </w:t>
      </w:r>
      <w:r>
        <w:rPr>
          <w:iCs/>
          <w:i/>
        </w:rPr>
        <w:t xml:space="preserve">Mathematician</w:t>
      </w:r>
      <w:r>
        <w:t xml:space="preserve"> </w:t>
      </w:r>
      <w:r>
        <w:t xml:space="preserve">sales strategy in this dynamic market validates our regional approach and sets a benchmark for European expansion.</w:t>
      </w:r>
    </w:p>
    <w:bookmarkEnd w:id="25"/>
    <w:bookmarkStart w:id="26" w:name="vii.-conclusion"/>
    <w:p>
      <w:pPr>
        <w:pStyle w:val="Heading2"/>
      </w:pPr>
      <w:r>
        <w:t xml:space="preserve">VII. Conclusion</w:t>
      </w:r>
    </w:p>
    <w:p>
      <w:pPr>
        <w:pStyle w:val="FirstParagraph"/>
      </w:pPr>
      <w:r>
        <w:t xml:space="preserve">This Sales Report conclusively demonstrates that the strategic investment in the Belgium Brussels market was one of the most successful initiatives of 2023. The exceptional growth metrics, coupled with deep integration into the region’s EU institutions, academic ecosystem, and corporate landscape, underscore why</w:t>
      </w:r>
      <w:r>
        <w:t xml:space="preserve"> </w:t>
      </w:r>
      <w:r>
        <w:rPr>
          <w:iCs/>
          <w:i/>
        </w:rPr>
        <w:t xml:space="preserve">Mathematician</w:t>
      </w:r>
      <w:r>
        <w:t xml:space="preserve"> </w:t>
      </w:r>
      <w:r>
        <w:t xml:space="preserve">is not merely a product but a cornerstone for mathematical advancement in Europe’s capital. We have transformed Brussels from a promising market into our flagship European hub – proving that where data meets policy,</w:t>
      </w:r>
      <w:r>
        <w:t xml:space="preserve"> </w:t>
      </w:r>
      <w:r>
        <w:rPr>
          <w:iCs/>
          <w:i/>
        </w:rPr>
        <w:t xml:space="preserve">Mathematician</w:t>
      </w:r>
      <w:r>
        <w:t xml:space="preserve"> </w:t>
      </w:r>
      <w:r>
        <w:t xml:space="preserve">is the indispensable tool. The future of mathematical innovation, as evidenced by this Sales Report, is undeniably centered in Belgium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Mathematician Software Suite - Belgium Brussels Market</dc:title>
  <dc:creator/>
  <dc:language>en</dc:language>
  <cp:keywords/>
  <dcterms:created xsi:type="dcterms:W3CDTF">2026-07-23T20:05:45Z</dcterms:created>
  <dcterms:modified xsi:type="dcterms:W3CDTF">2026-07-23T20:05:45Z</dcterms:modified>
</cp:coreProperties>
</file>

<file path=docProps/custom.xml><?xml version="1.0" encoding="utf-8"?>
<Properties xmlns="http://schemas.openxmlformats.org/officeDocument/2006/custom-properties" xmlns:vt="http://schemas.openxmlformats.org/officeDocument/2006/docPropsVTypes"/>
</file>