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Brasília</w:t>
      </w:r>
      <w:r>
        <w:t xml:space="preserve"> </w:t>
      </w:r>
      <w:r>
        <w:t xml:space="preserve">Market</w:t>
      </w:r>
      <w:r>
        <w:t xml:space="preserve"> </w:t>
      </w:r>
      <w:r>
        <w:t xml:space="preserve">Analysis</w:t>
      </w:r>
    </w:p>
    <w:bookmarkStart w:id="29" w:name="X74ca94b69ce5956204133ec75e703f40ca10787"/>
    <w:p>
      <w:pPr>
        <w:pStyle w:val="Heading1"/>
      </w:pPr>
      <w:r>
        <w:t xml:space="preserve">SALES REPORT: MATHEMATICIAN SOFTWARE SOLUTIONS IN BRAZIL BRASÍLIA</w:t>
      </w:r>
    </w:p>
    <w:p>
      <w:pPr>
        <w:pStyle w:val="FirstParagraph"/>
      </w:pPr>
      <w:r>
        <w:t xml:space="preserve">Q3 2023 Performance Summary | Prepared for Global Executive Leadership | October 26, 2023</w:t>
      </w:r>
    </w:p>
    <w:bookmarkStart w:id="20" w:name="executive-summary"/>
    <w:p>
      <w:pPr>
        <w:pStyle w:val="Heading2"/>
      </w:pPr>
      <w:r>
        <w:t xml:space="preserve">Executive Summary</w:t>
      </w:r>
    </w:p>
    <w:p>
      <w:pPr>
        <w:pStyle w:val="FirstParagraph"/>
      </w:pPr>
      <w:r>
        <w:t xml:space="preserve">This comprehensive Sales Report details the performance of our</w:t>
      </w:r>
      <w:r>
        <w:t xml:space="preserve"> </w:t>
      </w:r>
      <w:r>
        <w:rPr>
          <w:iCs/>
          <w:i/>
        </w:rPr>
        <w:t xml:space="preserve">Mathematician</w:t>
      </w:r>
      <w:r>
        <w:t xml:space="preserve"> </w:t>
      </w:r>
      <w:r>
        <w:t xml:space="preserve">advanced computational analytics suite across the Brazilian capital market, with primary focus on Brasília. The Q3 2023 period marked a pivotal milestone in our South American expansion strategy, achieving 147% of quarterly sales targets and establishing Brasília as our fastest-growing metropolitan hub in Latin America. This document synthesizes market dynamics, customer insights, and strategic recommendations specifically tailored to the unique academic-industrial landscape of Brazil's political capital.</w:t>
      </w:r>
    </w:p>
    <w:bookmarkEnd w:id="20"/>
    <w:bookmarkStart w:id="21" w:name="market-context-in-brazil-brasília"/>
    <w:p>
      <w:pPr>
        <w:pStyle w:val="Heading2"/>
      </w:pPr>
      <w:r>
        <w:t xml:space="preserve">Market Context in Brazil &amp; Brasília</w:t>
      </w:r>
    </w:p>
    <w:p>
      <w:pPr>
        <w:pStyle w:val="FirstParagraph"/>
      </w:pPr>
      <w:r>
        <w:t xml:space="preserve">Brasília, as Brazil's federal capital and the epicenter of national policy-making, presents a uniquely advantageous market for</w:t>
      </w:r>
      <w:r>
        <w:t xml:space="preserve"> </w:t>
      </w:r>
      <w:r>
        <w:rPr>
          <w:iCs/>
          <w:i/>
        </w:rPr>
        <w:t xml:space="preserve">Mathematician</w:t>
      </w:r>
      <w:r>
        <w:t xml:space="preserve"> </w:t>
      </w:r>
      <w:r>
        <w:t xml:space="preserve">solutions. The city houses:</w:t>
      </w:r>
    </w:p>
    <w:p>
      <w:pPr>
        <w:numPr>
          <w:ilvl w:val="0"/>
          <w:numId w:val="1001"/>
        </w:numPr>
        <w:pStyle w:val="Compact"/>
      </w:pPr>
      <w:r>
        <w:t xml:space="preserve">The National Congress complex with data-driven legislative research units</w:t>
      </w:r>
    </w:p>
    <w:p>
      <w:pPr>
        <w:numPr>
          <w:ilvl w:val="0"/>
          <w:numId w:val="1001"/>
        </w:numPr>
        <w:pStyle w:val="Compact"/>
      </w:pPr>
      <w:r>
        <w:t xml:space="preserve">Five major federal universities (including UnB) with STEM excellence rankings</w:t>
      </w:r>
    </w:p>
    <w:p>
      <w:pPr>
        <w:numPr>
          <w:ilvl w:val="0"/>
          <w:numId w:val="1001"/>
        </w:numPr>
        <w:pStyle w:val="Compact"/>
      </w:pPr>
      <w:r>
        <w:t xml:space="preserve">National agencies like IBGE and ANAC requiring advanced statistical modeling</w:t>
      </w:r>
    </w:p>
    <w:p>
      <w:pPr>
        <w:numPr>
          <w:ilvl w:val="0"/>
          <w:numId w:val="1001"/>
        </w:numPr>
        <w:pStyle w:val="Compact"/>
      </w:pPr>
      <w:r>
        <w:t xml:space="preserve">A concentration of fintech startups in the "Brasília Tech Hub" ecosystem</w:t>
      </w:r>
    </w:p>
    <w:p>
      <w:pPr>
        <w:pStyle w:val="FirstParagraph"/>
      </w:pPr>
      <w:r>
        <w:t xml:space="preserve">These institutions collectively represent a $28M annual opportunity for mathematical software solutions, with Brasília accounting for 37% of Brazil's federal research technology budget. The strategic alignment between our</w:t>
      </w:r>
      <w:r>
        <w:t xml:space="preserve"> </w:t>
      </w:r>
      <w:r>
        <w:rPr>
          <w:iCs/>
          <w:i/>
        </w:rPr>
        <w:t xml:space="preserve">Mathematician</w:t>
      </w:r>
      <w:r>
        <w:t xml:space="preserve"> </w:t>
      </w:r>
      <w:r>
        <w:t xml:space="preserve">platform and Brazil's national initiatives like "Programa de Apoio ao Desenvolvimento da Matemática" (PADM) has created unprecedented market traction.</w:t>
      </w:r>
    </w:p>
    <w:bookmarkEnd w:id="21"/>
    <w:bookmarkStart w:id="22" w:name="q3-2023-sales-performance"/>
    <w:p>
      <w:pPr>
        <w:pStyle w:val="Heading2"/>
      </w:pPr>
      <w:r>
        <w:t xml:space="preserve">Q3 2023 Sales Performance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Indicator</w:t>
            </w:r>
          </w:p>
        </w:tc>
        <w:tc>
          <w:tcPr/>
          <w:p>
            <w:pPr>
              <w:pStyle w:val="Compact"/>
              <w:jc w:val="left"/>
            </w:pPr>
            <w:r>
              <w:t xml:space="preserve">Q3 Target</w:t>
            </w:r>
          </w:p>
        </w:tc>
        <w:tc>
          <w:tcPr/>
          <w:p>
            <w:pPr>
              <w:pStyle w:val="Compact"/>
              <w:jc w:val="left"/>
            </w:pPr>
            <w:r>
              <w:t xml:space="preserve">Actual Result</w:t>
            </w:r>
          </w:p>
        </w:tc>
        <w:tc>
          <w:tcPr/>
          <w:p>
            <w:pPr>
              <w:pStyle w:val="Compact"/>
              <w:jc w:val="left"/>
            </w:pPr>
            <w:r>
              <w:t xml:space="preserve">Variance</w:t>
            </w:r>
          </w:p>
        </w:tc>
        <w:tc>
          <w:tcPr/>
          <w:p>
            <w:pPr>
              <w:pStyle w:val="Compact"/>
              <w:jc w:val="left"/>
            </w:pPr>
            <w:r>
              <w:t xml:space="preserve">% of Brazil Total</w:t>
            </w:r>
          </w:p>
        </w:tc>
      </w:tr>
      <w:tr>
        <w:tc>
          <w:tcPr/>
          <w:p>
            <w:pPr>
              <w:pStyle w:val="Compact"/>
              <w:jc w:val="left"/>
            </w:pPr>
            <w:r>
              <w:t xml:space="preserve">Revenue (BRL)</w:t>
            </w:r>
          </w:p>
        </w:tc>
        <w:tc>
          <w:tcPr/>
          <w:p>
            <w:pPr>
              <w:pStyle w:val="Compact"/>
              <w:jc w:val="left"/>
            </w:pPr>
            <w:r>
              <w:t xml:space="preserve">R$ 1,850,000</w:t>
            </w:r>
          </w:p>
        </w:tc>
        <w:tc>
          <w:tcPr/>
          <w:p>
            <w:pPr>
              <w:pStyle w:val="Compact"/>
              <w:jc w:val="left"/>
            </w:pPr>
            <w:r>
              <w:t xml:space="preserve">R$ 2,725,431</w:t>
            </w:r>
          </w:p>
        </w:tc>
        <w:tc>
          <w:tcPr/>
          <w:p>
            <w:pPr>
              <w:pStyle w:val="Compact"/>
              <w:jc w:val="left"/>
            </w:pPr>
            <w:r>
              <w:t xml:space="preserve">+47.3%</w:t>
            </w:r>
          </w:p>
        </w:tc>
        <w:tc>
          <w:tcPr/>
          <w:p>
            <w:pPr>
              <w:pStyle w:val="Compact"/>
              <w:jc w:val="left"/>
            </w:pPr>
            <w:r>
              <w:t xml:space="preserve">62.1%</w:t>
            </w:r>
          </w:p>
        </w:tc>
      </w:tr>
      <w:tr>
        <w:tc>
          <w:tcPr/>
          <w:p>
            <w:pPr>
              <w:pStyle w:val="Compact"/>
              <w:jc w:val="left"/>
            </w:pPr>
            <w:r>
              <w:t xml:space="preserve">New Enterprise Clients</w:t>
            </w:r>
          </w:p>
        </w:tc>
        <w:tc>
          <w:tcPr/>
          <w:p>
            <w:pPr>
              <w:pStyle w:val="Compact"/>
              <w:jc w:val="left"/>
            </w:pPr>
            <w:r>
              <w:t xml:space="preserve">9</w:t>
            </w:r>
          </w:p>
        </w:tc>
        <w:tc>
          <w:tcPr/>
          <w:p>
            <w:pPr>
              <w:pStyle w:val="Compact"/>
              <w:jc w:val="left"/>
            </w:pPr>
            <w:r>
              <w:t xml:space="preserve">15</w:t>
            </w:r>
          </w:p>
        </w:tc>
        <w:tc>
          <w:tcPr/>
          <w:p>
            <w:pPr>
              <w:pStyle w:val="Compact"/>
              <w:jc w:val="left"/>
            </w:pPr>
            <w:r>
              <w:t xml:space="preserve">+66.7%</w:t>
            </w:r>
          </w:p>
        </w:tc>
        <w:tc>
          <w:tcPr/>
          <w:p>
            <w:pPr>
              <w:pStyle w:val="Compact"/>
              <w:jc w:val="left"/>
            </w:pPr>
            <w:r>
              <w:t xml:space="preserve">78.9%</w:t>
            </w:r>
          </w:p>
        </w:tc>
      </w:tr>
      <w:tr>
        <w:tc>
          <w:tcPr/>
          <w:p>
            <w:pPr>
              <w:pStyle w:val="Compact"/>
              <w:jc w:val="left"/>
            </w:pPr>
            <w:r>
              <w:t xml:space="preserve">Awarded Contracts (Public Sector)</w:t>
            </w:r>
          </w:p>
        </w:tc>
        <w:tc>
          <w:tcPr/>
          <w:p>
            <w:pPr>
              <w:pStyle w:val="Compact"/>
              <w:jc w:val="left"/>
            </w:pPr>
            <w:r>
              <w:t xml:space="preserve">4</w:t>
            </w:r>
          </w:p>
        </w:tc>
        <w:tc>
          <w:tcPr/>
          <w:p>
            <w:pPr>
              <w:pStyle w:val="Compact"/>
              <w:jc w:val="left"/>
            </w:pPr>
            <w:r>
              <w:t xml:space="preserve">11</w:t>
            </w:r>
          </w:p>
        </w:tc>
        <w:tc>
          <w:tcPr/>
          <w:p>
            <w:pPr>
              <w:pStyle w:val="Compact"/>
              <w:jc w:val="left"/>
            </w:pPr>
            <w:r>
              <w:t xml:space="preserve">+175.0%</w:t>
            </w:r>
          </w:p>
        </w:tc>
        <w:tc>
          <w:tcPr/>
          <w:p>
            <w:pPr>
              <w:pStyle w:val="Compact"/>
              <w:jc w:val="left"/>
            </w:pPr>
            <w:r>
              <w:t xml:space="preserve">84.6%</w:t>
            </w:r>
          </w:p>
        </w:tc>
      </w:tr>
      <w:tr>
        <w:tc>
          <w:tcPr/>
          <w:p>
            <w:pPr>
              <w:pStyle w:val="Compact"/>
              <w:jc w:val="left"/>
            </w:pPr>
            <w:r>
              <w:t xml:space="preserve">Annual Contract Value (ACV)</w:t>
            </w:r>
          </w:p>
        </w:tc>
        <w:tc>
          <w:tcPr/>
          <w:p>
            <w:pPr>
              <w:pStyle w:val="Compact"/>
              <w:jc w:val="left"/>
            </w:pPr>
            <w:r>
              <w:t xml:space="preserve">R$ 4,200,000</w:t>
            </w:r>
          </w:p>
        </w:tc>
        <w:tc>
          <w:tcPr/>
          <w:p>
            <w:pPr>
              <w:pStyle w:val="Compact"/>
              <w:jc w:val="left"/>
            </w:pPr>
            <w:r>
              <w:t xml:space="preserve">R$ 6,853,197</w:t>
            </w:r>
          </w:p>
        </w:tc>
        <w:tc>
          <w:tcPr/>
          <w:p>
            <w:pPr>
              <w:pStyle w:val="Compact"/>
              <w:jc w:val="left"/>
            </w:pPr>
            <w:r>
              <w:t xml:space="preserve">+63.2%</w:t>
            </w:r>
          </w:p>
        </w:tc>
        <w:tc>
          <w:tcPr/>
          <w:p>
            <w:pPr>
              <w:pStyle w:val="Compact"/>
              <w:jc w:val="left"/>
            </w:pPr>
            <w:r>
              <w:t xml:space="preserve">59.3%</w:t>
            </w:r>
          </w:p>
        </w:tc>
      </w:tr>
    </w:tbl>
    <w:p>
      <w:pPr>
        <w:pStyle w:val="BodyText"/>
      </w:pPr>
      <w:r>
        <w:t xml:space="preserve">The exceptional performance in Brasília stems from our strategic partnership with the</w:t>
      </w:r>
      <w:r>
        <w:t xml:space="preserve"> </w:t>
      </w:r>
      <w:r>
        <w:rPr>
          <w:iCs/>
          <w:i/>
        </w:rPr>
        <w:t xml:space="preserve">Instituto Nacional de Matemática Pura e Aplicada (IMPA)</w:t>
      </w:r>
      <w:r>
        <w:t xml:space="preserve"> </w:t>
      </w:r>
      <w:r>
        <w:t xml:space="preserve">and the Ministry of Science, Technology, and Innovation. Our localized sales team—composed of 12 native Portuguese-speaking specialists based in Brasília—executed targeted outreach to federal research institutions during Brazil's National Mathematics Week (July 2023), generating 73 qualified leads.</w:t>
      </w:r>
    </w:p>
    <w:bookmarkEnd w:id="22"/>
    <w:bookmarkStart w:id="25" w:name="customer-success-stories-in-brasília"/>
    <w:p>
      <w:pPr>
        <w:pStyle w:val="Heading2"/>
      </w:pPr>
      <w:r>
        <w:t xml:space="preserve">Customer Success Stories in Brasília</w:t>
      </w:r>
    </w:p>
    <w:bookmarkStart w:id="23" w:name="Xb72703dca1ce588d8a75378fc44fe28af8cc746"/>
    <w:p>
      <w:pPr>
        <w:pStyle w:val="Heading3"/>
      </w:pPr>
      <w:r>
        <w:t xml:space="preserve">Case Study 1: Federal University of Brasília (UnB)</w:t>
      </w:r>
    </w:p>
    <w:p>
      <w:pPr>
        <w:pStyle w:val="FirstParagraph"/>
      </w:pPr>
      <w:r>
        <w:t xml:space="preserve">Implementation of the</w:t>
      </w:r>
      <w:r>
        <w:t xml:space="preserve"> </w:t>
      </w:r>
      <w:r>
        <w:rPr>
          <w:iCs/>
          <w:i/>
        </w:rPr>
        <w:t xml:space="preserve">Mathematician</w:t>
      </w:r>
      <w:r>
        <w:t xml:space="preserve"> </w:t>
      </w:r>
      <w:r>
        <w:t xml:space="preserve">Research Module for UnB's Mathematics Department enabled:</w:t>
      </w:r>
    </w:p>
    <w:p>
      <w:pPr>
        <w:numPr>
          <w:ilvl w:val="0"/>
          <w:numId w:val="1002"/>
        </w:numPr>
        <w:pStyle w:val="Compact"/>
      </w:pPr>
      <w:r>
        <w:t xml:space="preserve">40% reduction in statistical analysis time for climate research projects</w:t>
      </w:r>
    </w:p>
    <w:p>
      <w:pPr>
        <w:numPr>
          <w:ilvl w:val="0"/>
          <w:numId w:val="1002"/>
        </w:numPr>
        <w:pStyle w:val="Compact"/>
      </w:pPr>
      <w:r>
        <w:t xml:space="preserve">Real-time collaboration across 3 university campuses (Brasília, Planaltina, Taguatinga)</w:t>
      </w:r>
    </w:p>
    <w:p>
      <w:pPr>
        <w:numPr>
          <w:ilvl w:val="0"/>
          <w:numId w:val="1002"/>
        </w:numPr>
        <w:pStyle w:val="Compact"/>
      </w:pPr>
      <w:r>
        <w:t xml:space="preserve">Integration with Brazil's National Climate Data Platform</w:t>
      </w:r>
    </w:p>
    <w:p>
      <w:pPr>
        <w:pStyle w:val="FirstParagraph"/>
      </w:pPr>
      <w:r>
        <w:rPr>
          <w:iCs/>
          <w:i/>
        </w:rPr>
        <w:t xml:space="preserve">"The Mathematician platform transformed how we approach complex modeling. In just three months, our team processed data sets that previously required 18 months,"</w:t>
      </w:r>
      <w:r>
        <w:t xml:space="preserve"> </w:t>
      </w:r>
      <w:r>
        <w:t xml:space="preserve">– Prof. Ana Lúcia Silva, UnB Department Chair.</w:t>
      </w:r>
    </w:p>
    <w:bookmarkEnd w:id="23"/>
    <w:bookmarkStart w:id="24" w:name="Xd28a124cadf136bc813c71a5fa473e3de4f472b"/>
    <w:p>
      <w:pPr>
        <w:pStyle w:val="Heading3"/>
      </w:pPr>
      <w:r>
        <w:t xml:space="preserve">Case Study 2: Brazilian Air Force (Força Aérea Brasileira)</w:t>
      </w:r>
    </w:p>
    <w:p>
      <w:pPr>
        <w:pStyle w:val="FirstParagraph"/>
      </w:pPr>
      <w:r>
        <w:t xml:space="preserve">Adoption of the</w:t>
      </w:r>
      <w:r>
        <w:t xml:space="preserve"> </w:t>
      </w:r>
      <w:r>
        <w:rPr>
          <w:iCs/>
          <w:i/>
        </w:rPr>
        <w:t xml:space="preserve">Mathematician</w:t>
      </w:r>
      <w:r>
        <w:t xml:space="preserve"> </w:t>
      </w:r>
      <w:r>
        <w:t xml:space="preserve">Defense Analytics Suite for aerospace trajectory optimization resulted in:</w:t>
      </w:r>
    </w:p>
    <w:p>
      <w:pPr>
        <w:numPr>
          <w:ilvl w:val="0"/>
          <w:numId w:val="1003"/>
        </w:numPr>
        <w:pStyle w:val="Compact"/>
      </w:pPr>
      <w:r>
        <w:t xml:space="preserve">32% increase in mission planning efficiency</w:t>
      </w:r>
    </w:p>
    <w:p>
      <w:pPr>
        <w:numPr>
          <w:ilvl w:val="0"/>
          <w:numId w:val="1003"/>
        </w:numPr>
        <w:pStyle w:val="Compact"/>
      </w:pPr>
      <w:r>
        <w:t xml:space="preserve">Savings of R$ 1.2M annually in simulation costs</w:t>
      </w:r>
    </w:p>
    <w:p>
      <w:pPr>
        <w:numPr>
          <w:ilvl w:val="0"/>
          <w:numId w:val="1003"/>
        </w:numPr>
        <w:pStyle w:val="Compact"/>
      </w:pPr>
      <w:r>
        <w:t xml:space="preserve">Compliance with Brazil's new national cybersecurity standards for defense systems</w:t>
      </w:r>
    </w:p>
    <w:bookmarkEnd w:id="24"/>
    <w:bookmarkEnd w:id="25"/>
    <w:bookmarkStart w:id="26" w:name="strategic-analysis-market-insights"/>
    <w:p>
      <w:pPr>
        <w:pStyle w:val="Heading2"/>
      </w:pPr>
      <w:r>
        <w:t xml:space="preserve">Strategic Analysis &amp; Market Insights</w:t>
      </w:r>
    </w:p>
    <w:p>
      <w:pPr>
        <w:pStyle w:val="FirstParagraph"/>
      </w:pPr>
      <w:r>
        <w:t xml:space="preserve">Our success in Brasília reflects three critical market insights unique to Brazil:</w:t>
      </w:r>
    </w:p>
    <w:p>
      <w:pPr>
        <w:numPr>
          <w:ilvl w:val="0"/>
          <w:numId w:val="1004"/>
        </w:numPr>
        <w:pStyle w:val="Compact"/>
      </w:pPr>
      <w:r>
        <w:rPr>
          <w:bCs/>
          <w:b/>
        </w:rPr>
        <w:t xml:space="preserve">Government-Driven Adoption:</w:t>
      </w:r>
      <w:r>
        <w:t xml:space="preserve"> </w:t>
      </w:r>
      <w:r>
        <w:t xml:space="preserve">Federal procurement cycles aligned with our Q3 sales push. The Ministry of Education's R$37M "Digital Transformation for Research" initiative directly funded 48% of our public sector contracts in Brasília.</w:t>
      </w:r>
    </w:p>
    <w:p>
      <w:pPr>
        <w:numPr>
          <w:ilvl w:val="0"/>
          <w:numId w:val="1004"/>
        </w:numPr>
        <w:pStyle w:val="Compact"/>
      </w:pPr>
      <w:r>
        <w:rPr>
          <w:bCs/>
          <w:b/>
        </w:rPr>
        <w:t xml:space="preserve">Cultural Alignment:</w:t>
      </w:r>
      <w:r>
        <w:t xml:space="preserve"> </w:t>
      </w:r>
      <w:r>
        <w:t xml:space="preserve">We localized the</w:t>
      </w:r>
      <w:r>
        <w:t xml:space="preserve"> </w:t>
      </w:r>
      <w:r>
        <w:rPr>
          <w:iCs/>
          <w:i/>
        </w:rPr>
        <w:t xml:space="preserve">Mathematician</w:t>
      </w:r>
      <w:r>
        <w:t xml:space="preserve"> </w:t>
      </w:r>
      <w:r>
        <w:t xml:space="preserve">platform with Portuguese terminology, Brazil-specific statistical models (e.g., IBGE demographic frameworks), and compliance with LGPD data privacy laws. This resonated deeply with local stakeholders.</w:t>
      </w:r>
    </w:p>
    <w:p>
      <w:pPr>
        <w:numPr>
          <w:ilvl w:val="0"/>
          <w:numId w:val="1004"/>
        </w:numPr>
        <w:pStyle w:val="Compact"/>
      </w:pPr>
      <w:r>
        <w:rPr>
          <w:bCs/>
          <w:b/>
        </w:rPr>
        <w:t xml:space="preserve">Ecosystem Partnerships:</w:t>
      </w:r>
      <w:r>
        <w:t xml:space="preserve"> </w:t>
      </w:r>
      <w:r>
        <w:t xml:space="preserve">Collaborations with Brasília-based tech incubators like "Cidade Digital" accelerated sales through co-marketing events attended by 210+ potential clients during Q3.</w:t>
      </w:r>
    </w:p>
    <w:p>
      <w:pPr>
        <w:pStyle w:val="FirstParagraph"/>
      </w:pPr>
      <w:r>
        <w:t xml:space="preserve">Challenges identified include navigating Brazil's complex federal procurement system and addressing the high demand for technical support. To overcome this, we've established a dedicated Brasília-based support center with 24/7 Portuguese-speaking engineers—a solution directly responsive to client feedback from our Q2 survey.</w:t>
      </w:r>
    </w:p>
    <w:bookmarkEnd w:id="26"/>
    <w:bookmarkStart w:id="27" w:name="X39764bbbae298d2e09f9d1618c1f5aacdf63282"/>
    <w:p>
      <w:pPr>
        <w:pStyle w:val="Heading2"/>
      </w:pPr>
      <w:r>
        <w:t xml:space="preserve">Growth Strategy for Brazil Brasília (Q4 2023 &amp; Beyond)</w:t>
      </w:r>
    </w:p>
    <w:p>
      <w:pPr>
        <w:pStyle w:val="FirstParagraph"/>
      </w:pPr>
      <w:r>
        <w:t xml:space="preserve">Our roadmap focuses on three pillars to sustain momentum in Brazil's capital:</w:t>
      </w:r>
    </w:p>
    <w:p>
      <w:pPr>
        <w:numPr>
          <w:ilvl w:val="0"/>
          <w:numId w:val="1005"/>
        </w:numPr>
        <w:pStyle w:val="Compact"/>
      </w:pPr>
      <w:r>
        <w:rPr>
          <w:bCs/>
          <w:b/>
        </w:rPr>
        <w:t xml:space="preserve">Government Expansion:</w:t>
      </w:r>
      <w:r>
        <w:t xml:space="preserve"> </w:t>
      </w:r>
      <w:r>
        <w:t xml:space="preserve">Targeting the National Institute of Metrology (INMETRO) and Brazilian Central Bank for regulatory analytics solutions.</w:t>
      </w:r>
    </w:p>
    <w:p>
      <w:pPr>
        <w:numPr>
          <w:ilvl w:val="0"/>
          <w:numId w:val="1005"/>
        </w:numPr>
        <w:pStyle w:val="Compact"/>
      </w:pPr>
      <w:r>
        <w:rPr>
          <w:bCs/>
          <w:b/>
        </w:rPr>
        <w:t xml:space="preserve">Academic Ecosystem Deepening:</w:t>
      </w:r>
      <w:r>
        <w:t xml:space="preserve"> </w:t>
      </w:r>
      <w:r>
        <w:t xml:space="preserve">Launching a "Mathematician Campus Ambassador" program with 15 leading universities across Brasília's academic network.</w:t>
      </w:r>
    </w:p>
    <w:p>
      <w:pPr>
        <w:numPr>
          <w:ilvl w:val="0"/>
          <w:numId w:val="1005"/>
        </w:numPr>
        <w:pStyle w:val="Compact"/>
      </w:pPr>
      <w:r>
        <w:rPr>
          <w:bCs/>
          <w:b/>
        </w:rPr>
        <w:t xml:space="preserve">Local Innovation Hubs:</w:t>
      </w:r>
      <w:r>
        <w:t xml:space="preserve"> </w:t>
      </w:r>
      <w:r>
        <w:t xml:space="preserve">Partnering with Brasília's new innovation district (Cidade do Conhecimento) to create co-development labs for Brazilian mathematical challenges.</w:t>
      </w:r>
    </w:p>
    <w:p>
      <w:pPr>
        <w:pStyle w:val="FirstParagraph"/>
      </w:pPr>
      <w:r>
        <w:t xml:space="preserve">The projected Q4 growth trajectory indicates potential for 21% month-over-month revenue increase, driven by the federal budget cycle and our upcoming participation in the "Brasília Innovation Summit" (November 15-17, 2023).</w:t>
      </w:r>
    </w:p>
    <w:bookmarkEnd w:id="27"/>
    <w:bookmarkStart w:id="28" w:name="conclusion"/>
    <w:p>
      <w:pPr>
        <w:pStyle w:val="Heading2"/>
      </w:pPr>
      <w:r>
        <w:t xml:space="preserve">Conclusion</w:t>
      </w:r>
    </w:p>
    <w:p>
      <w:pPr>
        <w:pStyle w:val="FirstParagraph"/>
      </w:pPr>
      <w:r>
        <w:t xml:space="preserve">The</w:t>
      </w:r>
      <w:r>
        <w:t xml:space="preserve"> </w:t>
      </w:r>
      <w:r>
        <w:rPr>
          <w:iCs/>
          <w:i/>
        </w:rPr>
        <w:t xml:space="preserve">Mathematician</w:t>
      </w:r>
      <w:r>
        <w:t xml:space="preserve"> </w:t>
      </w:r>
      <w:r>
        <w:t xml:space="preserve">Sales Report for Brazil Brasília demonstrates how strategic market adaptation can drive exceptional performance in complex environments. By embedding our platform within Brazil's national academic and governmental infrastructure—rather than treating it as a generic export—we've achieved unprecedented market penetration. Our Brasília team has proven that localized expertise combined with cutting-edge mathematical technology creates an unbeatable value proposition for South American institutions.</w:t>
      </w:r>
    </w:p>
    <w:p>
      <w:pPr>
        <w:pStyle w:val="BodyText"/>
      </w:pPr>
      <w:r>
        <w:t xml:space="preserve">As Brazil accelerates its commitment to becoming a global STEM leader, the</w:t>
      </w:r>
      <w:r>
        <w:t xml:space="preserve"> </w:t>
      </w:r>
      <w:r>
        <w:rPr>
          <w:iCs/>
          <w:i/>
        </w:rPr>
        <w:t xml:space="preserve">Mathematician</w:t>
      </w:r>
      <w:r>
        <w:t xml:space="preserve"> </w:t>
      </w:r>
      <w:r>
        <w:t xml:space="preserve">platform stands positioned as an essential tool for national advancement. The Q3 results confirm that Brasília is not merely a market for our solution—it is the engine driving our entire Latin American growth strategy. We recommend doubling down on Brazil with immediate allocation of additional resources to the Brasília office, targeting R$ 4.2M in Q4 revenue and establishing</w:t>
      </w:r>
      <w:r>
        <w:t xml:space="preserve"> </w:t>
      </w:r>
      <w:r>
        <w:rPr>
          <w:iCs/>
          <w:i/>
        </w:rPr>
        <w:t xml:space="preserve">Mathematician</w:t>
      </w:r>
      <w:r>
        <w:t xml:space="preserve"> </w:t>
      </w:r>
      <w:r>
        <w:t xml:space="preserve">as Brazil's #1 mathematical software provider by Q1 2024.</w:t>
      </w:r>
    </w:p>
    <w:p>
      <w:pPr>
        <w:pStyle w:val="BodyText"/>
      </w:pPr>
      <w:r>
        <w:t xml:space="preserve">Prepared by Global Sales Intelligence Unit | Mathematician Technologies Inc.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Brasília Market Analysis</dc:title>
  <dc:creator/>
  <dc:language>en</dc:language>
  <cp:keywords/>
  <dcterms:created xsi:type="dcterms:W3CDTF">2025-12-10T07:02:23Z</dcterms:created>
  <dcterms:modified xsi:type="dcterms:W3CDTF">2025-12-10T07:02:23Z</dcterms:modified>
</cp:coreProperties>
</file>

<file path=docProps/custom.xml><?xml version="1.0" encoding="utf-8"?>
<Properties xmlns="http://schemas.openxmlformats.org/officeDocument/2006/custom-properties" xmlns:vt="http://schemas.openxmlformats.org/officeDocument/2006/docPropsVTypes"/>
</file>