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Product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  <w:r>
        <w:t xml:space="preserve"> </w:t>
      </w:r>
      <w:r>
        <w:t xml:space="preserve">Market</w:t>
      </w:r>
    </w:p>
    <w:bookmarkStart w:id="30" w:name="X4caa14366356b56a26f910a1b944b980192a8b7"/>
    <w:p>
      <w:pPr>
        <w:pStyle w:val="Heading1"/>
      </w:pPr>
      <w:r>
        <w:t xml:space="preserve">Comprehensive Sales Performance Report: Mathematician Product Suite in Brazil São Paulo Territory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Global Sales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exceptional market penetration and revenue growth of our flagship educational technology solution,</w:t>
      </w:r>
      <w:r>
        <w:t xml:space="preserve"> </w:t>
      </w:r>
      <w:r>
        <w:rPr>
          <w:iCs/>
          <w:i/>
        </w:rPr>
        <w:t xml:space="preserve">The Mathematician Suite</w:t>
      </w:r>
      <w:r>
        <w:t xml:space="preserve">, across Brazil São Paulo's dynamic education ecosystem. Serving as a pivotal instrument in transforming mathematics instruction, the product has achieved a remarkable 37% year-over-year revenue increase within São Paulo state alone. This success underscores the strategic alignment between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platform and Brazil's national education reform initiatives (LDB 1996/2023), particularly in São Paulo where over 85% of public schools have adopted digital learning tools. The report confirms São Paulo as our most valuable regional market, representing 42% of total Brazil revenue and exceeding quarterly targets by 18.7%.</w:t>
      </w:r>
    </w:p>
    <w:bookmarkEnd w:id="20"/>
    <w:bookmarkStart w:id="21" w:name="Xe5fc2e5213824c23b348676b4cb705463bb8717"/>
    <w:p>
      <w:pPr>
        <w:pStyle w:val="Heading2"/>
      </w:pPr>
      <w:r>
        <w:t xml:space="preserve">II. Market Context: Brazil São Paulo Education Landscape</w:t>
      </w:r>
    </w:p>
    <w:p>
      <w:pPr>
        <w:pStyle w:val="FirstParagraph"/>
      </w:pPr>
      <w:r>
        <w:t xml:space="preserve">São Paulo's education sector represents a $14.3 billion annual market with 6,500+ public schools and 8.2 million students – making it the largest educational ecosystem in Latin America. Recent Brazilian government mandates (Decree No. 10,794/2023) require all public institutions to integrate AI-driven math tools by 2025, creating an unprecedented opportunity for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. Our localized implementation strategy – featuring Portuguese language support, aligned with São Paulo's municipal curriculum (São Paulo State Education Department - SME), and compliance with Brazilian data protection laws (LGPD) – has positioned us as the preferred vendor. This Sales Report confirms that São Paulo's schools prioritize solutions proven to reduce math failure rates by 28% within six months of deployment, directly mirroring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's core value proposition.</w:t>
      </w:r>
    </w:p>
    <w:bookmarkEnd w:id="21"/>
    <w:bookmarkStart w:id="22" w:name="X3135307c0220f36d4c834f12c8210b2154e3026"/>
    <w:p>
      <w:pPr>
        <w:pStyle w:val="Heading2"/>
      </w:pPr>
      <w:r>
        <w:t xml:space="preserve">III. Q3 Sales Performance Highlights (São Paulo Focus)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% Change (vs Q2)</w:t>
      </w:r>
    </w:p>
    <w:p>
      <w:pPr>
        <w:pStyle w:val="BodyText"/>
      </w:pPr>
      <w:r>
        <w:t xml:space="preserve">Revenue Generated</w:t>
      </w:r>
    </w:p>
    <w:p>
      <w:pPr>
        <w:pStyle w:val="BodyText"/>
      </w:pPr>
      <w:r>
        <w:t xml:space="preserve">R$ 14.8M</w:t>
      </w:r>
    </w:p>
    <w:p>
      <w:pPr>
        <w:pStyle w:val="BodyText"/>
      </w:pPr>
      <w:r>
        <w:t xml:space="preserve">R$ 10.6M</w:t>
      </w:r>
    </w:p>
    <w:p>
      <w:pPr>
        <w:pStyle w:val="BodyText"/>
      </w:pPr>
      <w:r>
        <w:t xml:space="preserve">+40%</w:t>
      </w:r>
    </w:p>
    <w:p>
      <w:pPr>
        <w:pStyle w:val="BodyText"/>
      </w:pPr>
      <w:r>
        <w:t xml:space="preserve">New School Contracts Signed</w:t>
      </w:r>
    </w:p>
    <w:p>
      <w:pPr>
        <w:pStyle w:val="BodyText"/>
      </w:pPr>
      <w:r>
        <w:t xml:space="preserve">237 (19% of total Brazil)</w:t>
      </w:r>
    </w:p>
    <w:p>
      <w:pPr>
        <w:pStyle w:val="BodyText"/>
      </w:pPr>
      <w:r>
        <w:t xml:space="preserve">178</w:t>
      </w:r>
    </w:p>
    <w:p>
      <w:pPr>
        <w:pStyle w:val="BodyText"/>
      </w:pPr>
      <w:r>
        <w:t xml:space="preserve">+33%</w:t>
      </w:r>
    </w:p>
    <w:p>
      <w:pPr>
        <w:pStyle w:val="BodyText"/>
      </w:pPr>
      <w:r>
        <w:t xml:space="preserve">Lifetime Value (LTV) per School</w:t>
      </w:r>
    </w:p>
    <w:p>
      <w:pPr>
        <w:pStyle w:val="BodyText"/>
      </w:pPr>
      <w:r>
        <w:t xml:space="preserve">R$ 62,000</w:t>
      </w:r>
    </w:p>
    <w:p>
      <w:pPr>
        <w:pStyle w:val="BodyText"/>
      </w:pPr>
      <w:r>
        <w:t xml:space="preserve">R$ 54,800</w:t>
      </w:r>
    </w:p>
    <w:p>
      <w:pPr>
        <w:pStyle w:val="BodyText"/>
      </w:pPr>
      <w:r>
        <w:t xml:space="preserve">+13.2%</w:t>
      </w:r>
    </w:p>
    <w:p>
      <w:pPr>
        <w:pStyle w:val="BodyText"/>
      </w:pPr>
      <w:r>
        <w:t xml:space="preserve">Adoption Rate in São Paulo Public Schools</w:t>
      </w:r>
    </w:p>
    <w:p>
      <w:pPr>
        <w:pStyle w:val="BodyText"/>
      </w:pPr>
      <w:r>
        <w:t xml:space="preserve">18.7% (vs 9.4% at start of 2023)</w:t>
      </w:r>
    </w:p>
    <w:p>
      <w:pPr>
        <w:pStyle w:val="BodyText"/>
      </w:pPr>
      <w:r>
        <w:t xml:space="preserve">15.6%</w:t>
      </w:r>
    </w:p>
    <w:p>
      <w:pPr>
        <w:pStyle w:val="BodyText"/>
      </w:pPr>
      <w:r>
        <w:t xml:space="preserve">The Q3 growth is attributed to three strategic initiatives specifically tailored for Brazil São Paulo: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Partnership Program:</w:t>
      </w:r>
      <w:r>
        <w:t xml:space="preserve"> </w:t>
      </w:r>
      <w:r>
        <w:t xml:space="preserve">Exclusive integration with São Paulo's Municipal Education Portal, enabling seamless single-sign-on access for 4.2 million students.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 Certification Workshops:</w:t>
      </w:r>
      <w:r>
        <w:t xml:space="preserve"> </w:t>
      </w:r>
      <w:r>
        <w:t xml:space="preserve">125 certified training sessions conducted across São Paulo metropolitan area, increasing user adoption by 63%.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Grant Collaboration:</w:t>
      </w:r>
      <w:r>
        <w:t xml:space="preserve"> </w:t>
      </w:r>
      <w:r>
        <w:t xml:space="preserve">Successful submission of R$ 7.8M in federal education technology grants targeting under-resourced schools in São Paulo suburbs (e.g., Guarulhos, Diadema).</w:t>
      </w:r>
    </w:p>
    <w:bookmarkEnd w:id="22"/>
    <w:bookmarkStart w:id="25" w:name="Xd58100c4b92b0d4924c9be6807273fef335c78d"/>
    <w:p>
      <w:pPr>
        <w:pStyle w:val="Heading2"/>
      </w:pPr>
      <w:r>
        <w:t xml:space="preserve">IV. Customer Success: São Paulo Case Studies</w:t>
      </w:r>
    </w:p>
    <w:p>
      <w:pPr>
        <w:pStyle w:val="FirstParagraph"/>
      </w:pPr>
      <w:r>
        <w:t xml:space="preserve">This Sales Report highlights three transformative implementations in Brazil São Paulo:</w:t>
      </w:r>
    </w:p>
    <w:bookmarkStart w:id="23" w:name="X5a9b29843c98974d2d0a47fc24e0d1265f0136a"/>
    <w:p>
      <w:pPr>
        <w:pStyle w:val="Heading3"/>
      </w:pPr>
      <w:r>
        <w:t xml:space="preserve">Case Study 1: Municipal School Network of Santo André</w:t>
      </w:r>
    </w:p>
    <w:p>
      <w:pPr>
        <w:pStyle w:val="FirstParagraph"/>
      </w:pPr>
      <w:r>
        <w:rPr>
          <w:iCs/>
          <w:i/>
        </w:rPr>
        <w:t xml:space="preserve">Challenge:</w:t>
      </w:r>
      <w:r>
        <w:t xml:space="preserve"> </w:t>
      </w:r>
      <w:r>
        <w:t xml:space="preserve">45% math failure rate among 9th graders (São Paulo SME data, 2022).</w:t>
      </w:r>
    </w:p>
    <w:p>
      <w:pPr>
        <w:pStyle w:val="BodyText"/>
      </w:pPr>
      <w:r>
        <w:rPr>
          <w:iCs/>
          <w:i/>
        </w:rPr>
        <w:t xml:space="preserve">Solution:</w:t>
      </w:r>
      <w:r>
        <w:t xml:space="preserve"> </w:t>
      </w:r>
      <w:r>
        <w:t xml:space="preserve">Deployment of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's adaptive learning engine across 18 schools.</w:t>
      </w:r>
    </w:p>
    <w:p>
      <w:pPr>
        <w:pStyle w:val="BodyText"/>
      </w:pPr>
      <w:r>
        <w:rPr>
          <w:iCs/>
          <w:i/>
        </w:rPr>
        <w:t xml:space="preserve">Result:</w:t>
      </w:r>
      <w:r>
        <w:t xml:space="preserve"> </w:t>
      </w:r>
      <w:r>
        <w:t xml:space="preserve">Failure rate reduced to 19% in Q3 (65% improvement), with teachers reporting 72% faster lesson planning. The district now plans statewide expansion using funds from São Paulo's "Educação Digital" grant program.</w:t>
      </w:r>
    </w:p>
    <w:bookmarkEnd w:id="23"/>
    <w:bookmarkStart w:id="24" w:name="Xb1288120525f89ba10e31ebd0891b865a399c82"/>
    <w:p>
      <w:pPr>
        <w:pStyle w:val="Heading3"/>
      </w:pPr>
      <w:r>
        <w:t xml:space="preserve">Case Study 2: University of São Paulo (USP) Mathematics Department</w:t>
      </w:r>
    </w:p>
    <w:p>
      <w:pPr>
        <w:pStyle w:val="FirstParagraph"/>
      </w:pPr>
      <w:r>
        <w:rPr>
          <w:iCs/>
          <w:i/>
        </w:rPr>
        <w:t xml:space="preserve">Challenge:</w:t>
      </w:r>
      <w:r>
        <w:t xml:space="preserve"> </w:t>
      </w:r>
      <w:r>
        <w:t xml:space="preserve">High dropout rates in introductory calculus courses at Brazil's top university.</w:t>
      </w:r>
    </w:p>
    <w:p>
      <w:pPr>
        <w:pStyle w:val="BodyText"/>
      </w:pPr>
      <w:r>
        <w:rPr>
          <w:iCs/>
          <w:i/>
        </w:rPr>
        <w:t xml:space="preserve">Solution:</w:t>
      </w:r>
      <w:r>
        <w:t xml:space="preserve"> </w:t>
      </w:r>
      <w:r>
        <w:t xml:space="preserve">Custom integration of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's analytics dashboard for real-time student performance tracking.</w:t>
      </w:r>
    </w:p>
    <w:p>
      <w:pPr>
        <w:pStyle w:val="BodyText"/>
      </w:pPr>
      <w:r>
        <w:rPr>
          <w:iCs/>
          <w:i/>
        </w:rPr>
        <w:t xml:space="preserve">Result:</w:t>
      </w:r>
      <w:r>
        <w:t xml:space="preserve"> </w:t>
      </w:r>
      <w:r>
        <w:t xml:space="preserve">31% reduction in course dropouts during Q3 semester. USP has committed to a 5-year institutional license, representing R$ 2.1M in annual revenue – the largest single contract in our Brazil history.</w:t>
      </w:r>
    </w:p>
    <w:bookmarkEnd w:id="24"/>
    <w:bookmarkEnd w:id="25"/>
    <w:bookmarkStart w:id="26" w:name="Xff3949904ebaed73cde4313d791a392080a0360"/>
    <w:p>
      <w:pPr>
        <w:pStyle w:val="Heading2"/>
      </w:pPr>
      <w:r>
        <w:t xml:space="preserve">V. Competitive Analysis: São Paulo Market Position</w:t>
      </w:r>
    </w:p>
    <w:p>
      <w:pPr>
        <w:pStyle w:val="FirstParagraph"/>
      </w:pPr>
      <w:r>
        <w:t xml:space="preserve">In Brazil São Paulo, we face intense competition from local edtech firms and global players like Khan Academy. However,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platform's unique advantages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Precision:</w:t>
      </w:r>
      <w:r>
        <w:t xml:space="preserve"> </w:t>
      </w:r>
      <w:r>
        <w:t xml:space="preserve">100% alignment with São Paulo's state-specific math standards (SME), unlike generic platforms.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Localization:</w:t>
      </w:r>
      <w:r>
        <w:t xml:space="preserve"> </w:t>
      </w:r>
      <w:r>
        <w:t xml:space="preserve">All student data stored on Brazilian cloud infrastructure (AWS São Paulo Region), meeting strict LGPD compliance – a critical differentiator absent in international competitors.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Teacher-Centric Design:</w:t>
      </w:r>
      <w:r>
        <w:t xml:space="preserve"> </w:t>
      </w:r>
      <w:r>
        <w:t xml:space="preserve">Interface optimized for Brazilian educators' workflow, developed with feedback from 327 São Paulo teachers during beta testing.</w:t>
      </w:r>
    </w:p>
    <w:bookmarkEnd w:id="26"/>
    <w:bookmarkStart w:id="27" w:name="vi.-challenges-and-strategic-imperatives"/>
    <w:p>
      <w:pPr>
        <w:pStyle w:val="Heading2"/>
      </w:pPr>
      <w:r>
        <w:t xml:space="preserve">VI. Challenges and Strategic Imperatives</w:t>
      </w:r>
    </w:p>
    <w:p>
      <w:pPr>
        <w:pStyle w:val="FirstParagraph"/>
      </w:pPr>
      <w:r>
        <w:t xml:space="preserve">This Sales Report identifies two priority challenges requiring immediate action in the Brazil São Paulo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34% of rural São Paulo schools lack reliable high-speed internet (IBGE, 2023). Solution: Launching offline mode for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in Q1 2024, supported by partnerships with Brazil's National Telecommunications Agency (Anatel).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 Sector Procurement Delays:</w:t>
      </w:r>
      <w:r>
        <w:t xml:space="preserve"> </w:t>
      </w:r>
      <w:r>
        <w:t xml:space="preserve">Government contracts averaging 90+ days. Solution: Establishing dedicated São Paulo procurement team to navigate municipal bureaucracy, targeting a 40% reduction in approval timelines.</w:t>
      </w:r>
    </w:p>
    <w:bookmarkEnd w:id="27"/>
    <w:bookmarkStart w:id="28" w:name="X888930b0e0ccd0c967aa2f1bde3ca1b83fcd9de"/>
    <w:p>
      <w:pPr>
        <w:pStyle w:val="Heading2"/>
      </w:pPr>
      <w:r>
        <w:t xml:space="preserve">VII. Forward-Looking Strategy for Brazil São Paulo</w:t>
      </w:r>
    </w:p>
    <w:p>
      <w:pPr>
        <w:pStyle w:val="FirstParagraph"/>
      </w:pPr>
      <w:r>
        <w:t xml:space="preserve">Our Q4 roadmap prioritizes three objectives directly tied to the Brazil São Paulo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SME Integration:</w:t>
      </w:r>
      <w:r>
        <w:t xml:space="preserve"> </w:t>
      </w:r>
      <w:r>
        <w:t xml:space="preserve">Achieve 30% market penetration across all 6,500 São Paulo public schools by December 2024 through tiered pricing models for municipal budgets.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"Mathematician Educator" Certification:</w:t>
      </w:r>
      <w:r>
        <w:t xml:space="preserve"> </w:t>
      </w:r>
      <w:r>
        <w:t xml:space="preserve">Partner with São Paulo's Teachers' Union (SINTE) to create a nationally recognized certification program, driving premium adoption in teacher training institutes.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São Paulo Innovation Hub:</w:t>
      </w:r>
      <w:r>
        <w:t xml:space="preserve"> </w:t>
      </w:r>
      <w:r>
        <w:t xml:space="preserve">Establish physical office in São Paulo city center (first in Latin America) to accelerate local product development and client support – expected to increase sales conversion by 25%.</w:t>
      </w:r>
    </w:p>
    <w:bookmarkEnd w:id="28"/>
    <w:bookmarkStart w:id="29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Brazil São Paulo market has unequivocally proven itself as the cornerstone of our global growth strategy. This Sales Report demonstrates that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product is not merely meeting but exceeding expectations in a market where educational technology adoption is accelerating faster than anywhere else in Latin America. By leveraging São Paulo's position as Brazil's economic and educational epicenter – with its massive scale, progressive policy environment, and digital transformation momentum – we have established an unassailable competitive advantage. The data confirms that every investment in the Brazil São Paulo territory yields exceptional returns: our customer acquisition cost (CAC) is 31% lower here than global average, while net promoter score (NPS) reaches 78 within São Paulo schools – significantly higher than the education sector benchmark of 52.</w:t>
      </w:r>
    </w:p>
    <w:p>
      <w:pPr>
        <w:pStyle w:val="BodyText"/>
      </w:pPr>
      <w:r>
        <w:t xml:space="preserve">As we enter Q4, Brazil São Paulo will remain our strategic priority. The success achieved with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here has created a powerful north star for our entire Latin American expansion, proving that when technology is designed specifically for local educational ecosystems – not just localized – transformative results follow. We are confident that this Sales Report will guide continued investment in São Paulo, where we anticipate generating 50% of all Brazil revenue by Q2 2024.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Performance Division</w:t>
      </w:r>
      <w:r>
        <w:br/>
      </w:r>
      <w:r>
        <w:rPr>
          <w:bCs/>
          <w:b/>
        </w:rPr>
        <w:t xml:space="preserve">Verified For:</w:t>
      </w:r>
      <w:r>
        <w:t xml:space="preserve"> </w:t>
      </w:r>
      <w:r>
        <w:t xml:space="preserve">Brazil Market Strategy Committee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Mathematician Product in Brazil São Paulo Market</dc:title>
  <dc:creator/>
  <dc:language>en</dc:language>
  <cp:keywords/>
  <dcterms:created xsi:type="dcterms:W3CDTF">2026-07-23T16:50:47Z</dcterms:created>
  <dcterms:modified xsi:type="dcterms:W3CDTF">2026-07-23T16:50:47Z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