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31" w:name="X2e7e8db86a2f502e4e3bf7d1fba9503b24b055c"/>
    <w:p>
      <w:pPr>
        <w:pStyle w:val="Heading1"/>
      </w:pPr>
      <w:r>
        <w:t xml:space="preserve">Annual Sales Report: Mathematician Product Suite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InnovateMath Solutions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our flagship educational technology product suite, "Mathematician," across the competitive Beijing market. The report confirms a remarkable 147% year-over-year growth in Beijing, establishing it as our most successful regional launch to date. With China's education sector prioritizing STEM innovation under its "Double Reduction" policy, the Mathematician platform has positioned itself as an essential tool for 238 certified schools and 150,000 students across Beijing. This Sales Report demonstrates how our AI-driven mathematics solution directly addresses Beijing's demand for data-optimized learning experiences.</w:t>
      </w:r>
    </w:p>
    <w:bookmarkEnd w:id="20"/>
    <w:bookmarkStart w:id="21" w:name="X0cf5edc0f01ed72606ef8a0cbea8e696e0e0adc"/>
    <w:p>
      <w:pPr>
        <w:pStyle w:val="Heading2"/>
      </w:pPr>
      <w:r>
        <w:t xml:space="preserve">II. Market Context: China Beijing Education Landscape</w:t>
      </w:r>
    </w:p>
    <w:p>
      <w:pPr>
        <w:pStyle w:val="FirstParagraph"/>
      </w:pPr>
      <w:r>
        <w:t xml:space="preserve">Beijing's education ecosystem represents the forefront of China's digital transformation in STEM learning. The municipal government has allocated $4.7 billion (2023) toward AI integration in K-12 curricula, creating unprecedented demand for solutions like Mathematician. Our competitive analysis reveals three critical market dynamics:</w:t>
      </w:r>
    </w:p>
    <w:p>
      <w:pPr>
        <w:numPr>
          <w:ilvl w:val="0"/>
          <w:numId w:val="1001"/>
        </w:numPr>
        <w:pStyle w:val="Compact"/>
      </w:pPr>
      <w:r>
        <w:rPr>
          <w:bCs/>
          <w:b/>
        </w:rPr>
        <w:t xml:space="preserve">Policy Alignment:</w:t>
      </w:r>
      <w:r>
        <w:t xml:space="preserve"> </w:t>
      </w:r>
      <w:r>
        <w:t xml:space="preserve">Beijing's 2023 Education Blueprint explicitly endorses "adaptive math platforms" as required tools for standardized test preparation</w:t>
      </w:r>
    </w:p>
    <w:p>
      <w:pPr>
        <w:numPr>
          <w:ilvl w:val="0"/>
          <w:numId w:val="1001"/>
        </w:numPr>
        <w:pStyle w:val="Compact"/>
      </w:pPr>
      <w:r>
        <w:rPr>
          <w:bCs/>
          <w:b/>
        </w:rPr>
        <w:t xml:space="preserve">Demand Gap:</w:t>
      </w:r>
      <w:r>
        <w:t xml:space="preserve"> </w:t>
      </w:r>
      <w:r>
        <w:t xml:space="preserve">78% of Beijing schools report insufficient resources for personalized math instruction (Beijing Education Research Institute, Q3 2023)</w:t>
      </w:r>
    </w:p>
    <w:p>
      <w:pPr>
        <w:numPr>
          <w:ilvl w:val="0"/>
          <w:numId w:val="1001"/>
        </w:numPr>
        <w:pStyle w:val="Compact"/>
      </w:pPr>
      <w:r>
        <w:rPr>
          <w:bCs/>
          <w:b/>
        </w:rPr>
        <w:t xml:space="preserve">Cultural Imperative:</w:t>
      </w:r>
      <w:r>
        <w:t xml:space="preserve"> </w:t>
      </w:r>
      <w:r>
        <w:t xml:space="preserve">Parents in Beijing invest 34% more in STEM education than national average, prioritizing quantifiable academic outcomes</w:t>
      </w:r>
    </w:p>
    <w:bookmarkEnd w:id="21"/>
    <w:bookmarkStart w:id="22" w:name="Xae74a25f0413b1336bddd2c46008add975dd675"/>
    <w:p>
      <w:pPr>
        <w:pStyle w:val="Heading2"/>
      </w:pPr>
      <w:r>
        <w:t xml:space="preserve">III. Mathematician Performance Metrics (Beijing Market)</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YTD Growth</w:t>
      </w:r>
    </w:p>
    <w:p>
      <w:pPr>
        <w:pStyle w:val="BodyText"/>
      </w:pPr>
      <w:r>
        <w:t xml:space="preserve">School Adoptions (Beijing)</w:t>
      </w:r>
    </w:p>
    <w:p>
      <w:pPr>
        <w:pStyle w:val="BodyText"/>
      </w:pPr>
      <w:r>
        <w:t xml:space="preserve">47 schools</w:t>
      </w:r>
    </w:p>
    <w:p>
      <w:pPr>
        <w:pStyle w:val="BodyText"/>
      </w:pPr>
      <w:r>
        <w:t xml:space="preserve">238 schools</w:t>
      </w:r>
    </w:p>
    <w:p>
      <w:pPr>
        <w:pStyle w:val="BodyText"/>
      </w:pPr>
      <w:r>
        <w:t xml:space="preserve">+406%</w:t>
      </w:r>
    </w:p>
    <w:p>
      <w:pPr>
        <w:pStyle w:val="BodyText"/>
      </w:pPr>
      <w:r>
        <w:t xml:space="preserve">Active Student Users</w:t>
      </w:r>
    </w:p>
    <w:p>
      <w:pPr>
        <w:pStyle w:val="BodyText"/>
      </w:pPr>
      <w:r>
        <w:t xml:space="preserve">12,500</w:t>
      </w:r>
    </w:p>
    <w:p>
      <w:pPr>
        <w:pStyle w:val="BodyText"/>
      </w:pPr>
      <w:r>
        <w:t xml:space="preserve">150,342</w:t>
      </w:r>
    </w:p>
    <w:p>
      <w:pPr>
        <w:pStyle w:val="BodyText"/>
      </w:pPr>
      <w:r>
        <w:t xml:space="preserve">Average Session Duration (min)</w:t>
      </w:r>
    </w:p>
    <w:p>
      <w:pPr>
        <w:pStyle w:val="BodyText"/>
      </w:pPr>
      <w:r>
        <w:t xml:space="preserve">18.7</w:t>
      </w:r>
    </w:p>
    <w:p>
      <w:pPr>
        <w:pStyle w:val="BodyText"/>
      </w:pPr>
      <w:r>
        <w:t xml:space="preserve">29.4</w:t>
      </w:r>
    </w:p>
    <w:p>
      <w:pPr>
        <w:pStyle w:val="BodyText"/>
      </w:pPr>
      <w:r>
        <w:t xml:space="preserve">+57%</w:t>
      </w:r>
    </w:p>
    <w:p>
      <w:pPr>
        <w:pStyle w:val="BodyText"/>
      </w:pPr>
      <w:r>
        <w:t xml:space="preserve">NPS Score (Beijing)</w:t>
      </w:r>
    </w:p>
    <w:p>
      <w:pPr>
        <w:pStyle w:val="BodyText"/>
      </w:pPr>
      <w:r>
        <w:t xml:space="preserve">68</w:t>
      </w:r>
    </w:p>
    <w:p>
      <w:pPr>
        <w:pStyle w:val="BodyText"/>
      </w:pPr>
      <w:r>
        <w:t xml:space="preserve">83</w:t>
      </w:r>
    </w:p>
    <w:p>
      <w:pPr>
        <w:pStyle w:val="BodyText"/>
      </w:pPr>
      <w:r>
        <w:t xml:space="preserve">+15 points</w:t>
      </w:r>
    </w:p>
    <w:bookmarkEnd w:id="22"/>
    <w:bookmarkStart w:id="26" w:name="X4f832b5c87435361da5c76b467693b8fe488502"/>
    <w:p>
      <w:pPr>
        <w:pStyle w:val="Heading2"/>
      </w:pPr>
      <w:r>
        <w:t xml:space="preserve">IV. Key Success Factors in China Beijing Market</w:t>
      </w:r>
    </w:p>
    <w:p>
      <w:pPr>
        <w:pStyle w:val="FirstParagraph"/>
      </w:pPr>
      <w:r>
        <w:t xml:space="preserve">The Mathematician product suite's dominance in Beijing stems from three strategic alignments:</w:t>
      </w:r>
    </w:p>
    <w:bookmarkStart w:id="23" w:name="Xcdfbf8ccc9f85d1eaa4c9c1f8dec520c0669018"/>
    <w:p>
      <w:pPr>
        <w:pStyle w:val="Heading3"/>
      </w:pPr>
      <w:r>
        <w:t xml:space="preserve">A. Localization for China Education Standards</w:t>
      </w:r>
    </w:p>
    <w:p>
      <w:pPr>
        <w:pStyle w:val="FirstParagraph"/>
      </w:pPr>
      <w:r>
        <w:t xml:space="preserve">We've integrated the "Beijing Mathematics Curriculum Framework 2022" into every algorithm, including all provincial exam patterns (e.g., Gaokao math sections). The Mathematician platform now features bilingual support for Mandarin-English math terminology—critical for Beijing's international schools. This localization has reduced student learning friction by 63% according to our Beijing University field study.</w:t>
      </w:r>
    </w:p>
    <w:bookmarkEnd w:id="23"/>
    <w:bookmarkStart w:id="24" w:name="b.-government-partnership-strategy"/>
    <w:p>
      <w:pPr>
        <w:pStyle w:val="Heading3"/>
      </w:pPr>
      <w:r>
        <w:t xml:space="preserve">B. Government Partnership Strategy</w:t>
      </w:r>
    </w:p>
    <w:p>
      <w:pPr>
        <w:pStyle w:val="FirstParagraph"/>
      </w:pPr>
      <w:r>
        <w:t xml:space="preserve">A landmark collaboration with the Beijing Municipal Education Commission (BMEC) enabled Mathematician's inclusion in the "Digital Learning Ecosystem" initiative. This official endorsement has driven 89% of school adoptions through government procurement channels, positioning us as a preferred solution rather than a commercial product.</w:t>
      </w:r>
    </w:p>
    <w:bookmarkEnd w:id="24"/>
    <w:bookmarkStart w:id="25" w:name="c.-data-driven-pedagogy"/>
    <w:p>
      <w:pPr>
        <w:pStyle w:val="Heading3"/>
      </w:pPr>
      <w:r>
        <w:t xml:space="preserve">C. Data-Driven Pedagogy</w:t>
      </w:r>
    </w:p>
    <w:p>
      <w:pPr>
        <w:pStyle w:val="FirstParagraph"/>
      </w:pPr>
      <w:r>
        <w:t xml:space="preserve">The Mathematician platform's unique "Learning Path Intelligence" analyzes Beijing students' exam patterns to predict knowledge gaps before they manifest. In Zhongguancun Science Park schools, this reduced remedial tutoring needs by 41% while improving average math scores by 27 points on municipal standardized tests.</w:t>
      </w:r>
    </w:p>
    <w:bookmarkEnd w:id="25"/>
    <w:bookmarkEnd w:id="26"/>
    <w:bookmarkStart w:id="27" w:name="X99261982535969e976401f3c2cbb5bb24e3bf99"/>
    <w:p>
      <w:pPr>
        <w:pStyle w:val="Heading2"/>
      </w:pPr>
      <w:r>
        <w:t xml:space="preserve">V. Customer Success Story: Dongzhimen High School</w:t>
      </w:r>
    </w:p>
    <w:p>
      <w:pPr>
        <w:pStyle w:val="FirstParagraph"/>
      </w:pPr>
      <w:r>
        <w:t xml:space="preserve">"Before implementing Mathematician, our Beijing students scored below national averages in geometry applications. The platform's adaptive problem sets aligned perfectly with our new curriculum focus on spatial reasoning," reported Principal Li Wei (Dongzhimen High School). "After one semester, 89% of Grade 10 students achieved advanced-level proficiency—far exceeding Beijing's district benchmark." This case study represents the typical outcome for 73% of our Beijing school clients.</w:t>
      </w:r>
    </w:p>
    <w:bookmarkEnd w:id="27"/>
    <w:bookmarkStart w:id="28" w:name="vi.-challenges-and-strategic-response"/>
    <w:p>
      <w:pPr>
        <w:pStyle w:val="Heading2"/>
      </w:pPr>
      <w:r>
        <w:t xml:space="preserve">VI. Challenges and Strategic Response</w:t>
      </w:r>
    </w:p>
    <w:p>
      <w:pPr>
        <w:pStyle w:val="FirstParagraph"/>
      </w:pPr>
      <w:r>
        <w:t xml:space="preserve">While growth was exceptional, two challenges emerged in the China Beijing market:</w:t>
      </w:r>
    </w:p>
    <w:p>
      <w:pPr>
        <w:numPr>
          <w:ilvl w:val="0"/>
          <w:numId w:val="1002"/>
        </w:numPr>
        <w:pStyle w:val="Compact"/>
      </w:pPr>
      <w:r>
        <w:rPr>
          <w:bCs/>
          <w:b/>
        </w:rPr>
        <w:t xml:space="preserve">Data Privacy Compliance:</w:t>
      </w:r>
      <w:r>
        <w:t xml:space="preserve"> </w:t>
      </w:r>
      <w:r>
        <w:t xml:space="preserve">We enhanced our platform with "Beijing Data Security Certification" (GB/T 35273-2020), addressing strict local regulations. This investment prevented potential revenue loss from 17 schools in early Q2.</w:t>
      </w:r>
    </w:p>
    <w:p>
      <w:pPr>
        <w:numPr>
          <w:ilvl w:val="0"/>
          <w:numId w:val="1002"/>
        </w:numPr>
        <w:pStyle w:val="Compact"/>
      </w:pPr>
      <w:r>
        <w:rPr>
          <w:bCs/>
          <w:b/>
        </w:rPr>
        <w:t xml:space="preserve">Teacher Onboarding:</w:t>
      </w:r>
      <w:r>
        <w:t xml:space="preserve"> </w:t>
      </w:r>
      <w:r>
        <w:t xml:space="preserve">We launched the "Mathematician Master Trainer Program" with Beijing Normal University, certifying 142 educators to maximize platform adoption. Teacher utilization rates now exceed 93% across our Beijing client base.</w:t>
      </w:r>
    </w:p>
    <w:bookmarkEnd w:id="28"/>
    <w:bookmarkStart w:id="29" w:name="Xc069503297af8ccc0e6f55f1136640fba52a97b"/>
    <w:p>
      <w:pPr>
        <w:pStyle w:val="Heading2"/>
      </w:pPr>
      <w:r>
        <w:t xml:space="preserve">VII. Future Strategy: Scaling Mathematician in China Beijing</w:t>
      </w:r>
    </w:p>
    <w:p>
      <w:pPr>
        <w:pStyle w:val="FirstParagraph"/>
      </w:pPr>
      <w:r>
        <w:t xml:space="preserve">Building on this success, our next-phase strategy for the China Beijing market includes:</w:t>
      </w:r>
    </w:p>
    <w:p>
      <w:pPr>
        <w:numPr>
          <w:ilvl w:val="0"/>
          <w:numId w:val="1003"/>
        </w:numPr>
        <w:pStyle w:val="Compact"/>
      </w:pPr>
      <w:r>
        <w:rPr>
          <w:bCs/>
          <w:b/>
        </w:rPr>
        <w:t xml:space="preserve">Beijing STEM Ambassadors Program:</w:t>
      </w:r>
      <w:r>
        <w:t xml:space="preserve"> </w:t>
      </w:r>
      <w:r>
        <w:t xml:space="preserve">Cultivating 500 math educators as product champions by Q2 2024</w:t>
      </w:r>
    </w:p>
    <w:p>
      <w:pPr>
        <w:numPr>
          <w:ilvl w:val="0"/>
          <w:numId w:val="1003"/>
        </w:numPr>
        <w:pStyle w:val="Compact"/>
      </w:pPr>
      <w:r>
        <w:rPr>
          <w:bCs/>
          <w:b/>
        </w:rPr>
        <w:t xml:space="preserve">AI-Powered Exam Simulator:</w:t>
      </w:r>
      <w:r>
        <w:t xml:space="preserve"> </w:t>
      </w:r>
      <w:r>
        <w:t xml:space="preserve">Launching Beijing-specific Gaokao simulation tools in November 2023</w:t>
      </w:r>
    </w:p>
    <w:p>
      <w:pPr>
        <w:numPr>
          <w:ilvl w:val="0"/>
          <w:numId w:val="1003"/>
        </w:numPr>
        <w:pStyle w:val="Compact"/>
      </w:pPr>
      <w:r>
        <w:rPr>
          <w:bCs/>
          <w:b/>
        </w:rPr>
        <w:t xml:space="preserve">Government Contract Expansion:</w:t>
      </w:r>
      <w:r>
        <w:t xml:space="preserve"> </w:t>
      </w:r>
      <w:r>
        <w:t xml:space="preserve">Targeting inclusion in 15 new municipal education districts by end-2024</w:t>
      </w:r>
    </w:p>
    <w:bookmarkEnd w:id="29"/>
    <w:bookmarkStart w:id="30" w:name="X7db943a785429632c3dbde959546688f66235ab"/>
    <w:p>
      <w:pPr>
        <w:pStyle w:val="Heading2"/>
      </w:pPr>
      <w:r>
        <w:t xml:space="preserve">VIII. Conclusion: The Mathematician Imperative for China Beijing</w:t>
      </w:r>
    </w:p>
    <w:p>
      <w:pPr>
        <w:pStyle w:val="FirstParagraph"/>
      </w:pPr>
      <w:r>
        <w:t xml:space="preserve">This Sales Report confirms that the Mathematician platform is not merely a product but a strategic solution addressing Beijing's most critical educational priorities. With China's national STEM investment growing at 17% annually and Beijing leading this transformation, Mathematician has become an indispensable asset for schools navigating the digital education revolution. The data is unequivocal: Schools using Mathematician outperform their peers by 23% in standardized math assessments—making it the definitive choice for forward-thinking educators across China Beijing.</w:t>
      </w:r>
    </w:p>
    <w:p>
      <w:pPr>
        <w:pStyle w:val="BodyText"/>
      </w:pPr>
      <w:r>
        <w:t xml:space="preserve">The path ahead requires sustained investment in Beijing-specific innovation, but with our current momentum, we project $18.7 million in annual revenue from China Beijing by 2024—a 3x increase from 2022. As the most impactful Sales Report of our global operations demonstrates, Mathematician has transcended product status to become a catalyst for Beijing's educational excellence.</w:t>
      </w:r>
    </w:p>
    <w:p>
      <w:pPr>
        <w:pStyle w:val="BodyText"/>
      </w:pPr>
      <w:r>
        <w:rPr>
          <w:iCs/>
          <w:i/>
        </w:rPr>
        <w:t xml:space="preserve">Prepared by: Global Product Strategy Division</w:t>
      </w:r>
      <w:r>
        <w:br/>
      </w:r>
      <w:r>
        <w:rPr>
          <w:iCs/>
          <w:i/>
        </w:rPr>
        <w:t xml:space="preserve">InnovateMath Solutions | Serving China's Educational Revolution Since 2018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China Beijing Market Analysis</dc:title>
  <dc:creator/>
  <dc:language>en</dc:language>
  <cp:keywords/>
  <dcterms:created xsi:type="dcterms:W3CDTF">2026-07-21T05:08:25Z</dcterms:created>
  <dcterms:modified xsi:type="dcterms:W3CDTF">2026-07-21T05:08:25Z</dcterms:modified>
</cp:coreProperties>
</file>

<file path=docProps/custom.xml><?xml version="1.0" encoding="utf-8"?>
<Properties xmlns="http://schemas.openxmlformats.org/officeDocument/2006/custom-properties" xmlns:vt="http://schemas.openxmlformats.org/officeDocument/2006/docPropsVTypes"/>
</file>