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Guangzhou</w:t>
      </w:r>
      <w:r>
        <w:t xml:space="preserve"> </w:t>
      </w:r>
      <w:r>
        <w:t xml:space="preserve">Market</w:t>
      </w:r>
      <w:r>
        <w:t xml:space="preserve"> </w:t>
      </w:r>
      <w:r>
        <w:t xml:space="preserve">Performance</w:t>
      </w:r>
    </w:p>
    <w:bookmarkStart w:id="30" w:name="X40e33695e63de3f6ec98e051d8bbe13fcab2f36"/>
    <w:p>
      <w:pPr>
        <w:pStyle w:val="Heading1"/>
      </w:pPr>
      <w:r>
        <w:t xml:space="preserve">Quarterly Sales Report: Mathematician Solutions in China Guangzhou Market</w:t>
      </w:r>
    </w:p>
    <w:bookmarkStart w:id="20" w:name="executive-summary"/>
    <w:p>
      <w:pPr>
        <w:pStyle w:val="Heading2"/>
      </w:pPr>
      <w:r>
        <w:t xml:space="preserve">Executive Summary</w:t>
      </w:r>
    </w:p>
    <w:p>
      <w:pPr>
        <w:pStyle w:val="FirstParagraph"/>
      </w:pPr>
      <w:r>
        <w:t xml:space="preserve">This comprehensive sales report details the performance of Mathematician Solutions, a leading provider of advanced mathematical software and educational consulting services, within the Guangzhou metropolitan market. Covering Q1-Q3 2023, this document analyzes revenue streams, market penetration strategies, and growth metrics specific to China's Guangzhou economic hub. The report confirms that Mathematician Solutions has achieved remarkable traction in this strategically vital region through culturally tailored solutions and institutional partnerships.</w:t>
      </w:r>
    </w:p>
    <w:bookmarkEnd w:id="20"/>
    <w:bookmarkStart w:id="21" w:name="Xd6d2e33e62c082e3b3aafbed8de5cc9fcdd4382"/>
    <w:p>
      <w:pPr>
        <w:pStyle w:val="Heading2"/>
      </w:pPr>
      <w:r>
        <w:t xml:space="preserve">Market Context: Guangzhou as a Strategic Growth Engine</w:t>
      </w:r>
    </w:p>
    <w:p>
      <w:pPr>
        <w:pStyle w:val="FirstParagraph"/>
      </w:pPr>
      <w:r>
        <w:t xml:space="preserve">Guangzhou, China's third-largest city and a pivotal member of the Pearl River Delta economic zone, represents an unparalleled market opportunity for specialized STEM services. With over 18 million residents and 350+ institutions offering mathematics education—from primary schools to top-tier universities like Sun Yat-sen University—this market demands innovative solutions. The Guangzhou Municipal Education Bureau's 2023 initiative prioritizing "AI-Enhanced STEM Learning" created a perfect alignment for Mathematician Solutions' offerings. Our localized approach, respecting Chinese educational philosophies while integrating cutting-edge computational tools, has positioned us uniquely in this landscape.</w:t>
      </w:r>
    </w:p>
    <w:bookmarkEnd w:id="21"/>
    <w:bookmarkStart w:id="22" w:name="X479df02ac7969cee5ca2d2ba0975a72ade75e4e"/>
    <w:p>
      <w:pPr>
        <w:pStyle w:val="Heading2"/>
      </w:pPr>
      <w:r>
        <w:t xml:space="preserve">Quantitative Sales Performance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Q1 Revenue (¥)</w:t>
            </w:r>
          </w:p>
        </w:tc>
        <w:tc>
          <w:tcPr/>
          <w:p>
            <w:pPr>
              <w:pStyle w:val="Compact"/>
              <w:jc w:val="left"/>
            </w:pPr>
            <w:r>
              <w:t xml:space="preserve">Q2 Revenue (¥)</w:t>
            </w:r>
          </w:p>
        </w:tc>
        <w:tc>
          <w:tcPr/>
          <w:p>
            <w:pPr>
              <w:pStyle w:val="Compact"/>
              <w:jc w:val="left"/>
            </w:pPr>
            <w:r>
              <w:t xml:space="preserve">Q3 Revenue (¥)</w:t>
            </w:r>
          </w:p>
        </w:tc>
        <w:tc>
          <w:tcPr/>
          <w:p>
            <w:pPr>
              <w:pStyle w:val="Compact"/>
              <w:jc w:val="left"/>
            </w:pPr>
            <w:r>
              <w:t xml:space="preserve">Total Growth</w:t>
            </w:r>
          </w:p>
        </w:tc>
      </w:tr>
      <w:tr>
        <w:tc>
          <w:tcPr/>
          <w:p>
            <w:pPr>
              <w:pStyle w:val="Compact"/>
              <w:jc w:val="left"/>
            </w:pPr>
            <w:r>
              <w:t xml:space="preserve">Educational Software Licensing</w:t>
            </w:r>
          </w:p>
        </w:tc>
        <w:tc>
          <w:tcPr/>
          <w:p>
            <w:pPr>
              <w:pStyle w:val="Compact"/>
              <w:jc w:val="left"/>
            </w:pPr>
            <w:r>
              <w:t xml:space="preserve">1,250,000</w:t>
            </w:r>
          </w:p>
        </w:tc>
        <w:tc>
          <w:tcPr/>
          <w:p>
            <w:pPr>
              <w:pStyle w:val="Compact"/>
              <w:jc w:val="left"/>
            </w:pPr>
            <w:r>
              <w:t xml:space="preserve">2,480,000</w:t>
            </w:r>
          </w:p>
        </w:tc>
        <w:tc>
          <w:tcPr/>
          <w:p>
            <w:pPr>
              <w:pStyle w:val="Compact"/>
              <w:jc w:val="left"/>
            </w:pPr>
            <w:r>
              <w:t xml:space="preserve">3,915,286</w:t>
            </w:r>
          </w:p>
        </w:tc>
        <w:tc>
          <w:tcPr/>
          <w:p>
            <w:pPr>
              <w:pStyle w:val="Compact"/>
              <w:jc w:val="left"/>
            </w:pPr>
            <w:r>
              <w:t xml:space="preserve">+213%</w:t>
            </w:r>
          </w:p>
        </w:tc>
      </w:tr>
      <w:tr>
        <w:tc>
          <w:tcPr/>
          <w:p>
            <w:pPr>
              <w:pStyle w:val="Compact"/>
              <w:jc w:val="left"/>
            </w:pPr>
            <w:r>
              <w:t xml:space="preserve">Institutional Consulting (K-12)</w:t>
            </w:r>
          </w:p>
        </w:tc>
        <w:tc>
          <w:tcPr/>
          <w:p>
            <w:pPr>
              <w:pStyle w:val="Compact"/>
              <w:jc w:val="left"/>
            </w:pPr>
            <w:r>
              <w:t xml:space="preserve">875,400</w:t>
            </w:r>
          </w:p>
        </w:tc>
        <w:tc>
          <w:tcPr/>
          <w:p>
            <w:pPr>
              <w:pStyle w:val="Compact"/>
              <w:jc w:val="left"/>
            </w:pPr>
            <w:r>
              <w:t xml:space="preserve">1,642,700</w:t>
            </w:r>
          </w:p>
        </w:tc>
        <w:tc>
          <w:tcPr/>
          <w:p>
            <w:pPr>
              <w:pStyle w:val="Compact"/>
              <w:jc w:val="left"/>
            </w:pPr>
            <w:r>
              <w:t xml:space="preserve">2,398,563</w:t>
            </w:r>
          </w:p>
        </w:tc>
        <w:tc>
          <w:tcPr/>
          <w:p>
            <w:pPr>
              <w:pStyle w:val="Compact"/>
              <w:jc w:val="left"/>
            </w:pPr>
            <w:r>
              <w:t xml:space="preserve">+175%</w:t>
            </w:r>
          </w:p>
        </w:tc>
      </w:tr>
      <w:tr>
        <w:tc>
          <w:tcPr/>
          <w:p>
            <w:pPr>
              <w:pStyle w:val="Compact"/>
              <w:jc w:val="left"/>
            </w:pPr>
            <w:r>
              <w:t xml:space="preserve">University Research Partnerships</w:t>
            </w:r>
          </w:p>
        </w:tc>
        <w:tc>
          <w:tcPr/>
          <w:p>
            <w:pPr>
              <w:pStyle w:val="Compact"/>
              <w:jc w:val="left"/>
            </w:pPr>
            <w:r>
              <w:t xml:space="preserve">621,850</w:t>
            </w:r>
          </w:p>
        </w:tc>
        <w:tc>
          <w:tcPr/>
          <w:p>
            <w:pPr>
              <w:pStyle w:val="Compact"/>
              <w:jc w:val="left"/>
            </w:pPr>
            <w:r>
              <w:t xml:space="preserve">948,620</w:t>
            </w:r>
          </w:p>
        </w:tc>
        <w:tc>
          <w:tcPr/>
          <w:p>
            <w:pPr>
              <w:pStyle w:val="Compact"/>
              <w:jc w:val="left"/>
            </w:pPr>
            <w:r>
              <w:t xml:space="preserve">1,472,309</w:t>
            </w:r>
          </w:p>
        </w:tc>
        <w:tc>
          <w:tcPr/>
          <w:p>
            <w:pPr>
              <w:pStyle w:val="Compact"/>
              <w:jc w:val="left"/>
            </w:pPr>
            <w:r>
              <w:t xml:space="preserve">+136%</w:t>
            </w:r>
          </w:p>
        </w:tc>
      </w:tr>
      <w:tr>
        <w:tc>
          <w:tcPr/>
          <w:p>
            <w:pPr>
              <w:pStyle w:val="Compact"/>
              <w:jc w:val="left"/>
            </w:pPr>
            <w:r>
              <w:t xml:space="preserve">Total Revenue (¥)</w:t>
            </w:r>
          </w:p>
        </w:tc>
        <w:tc>
          <w:tcPr/>
          <w:p>
            <w:pPr>
              <w:pStyle w:val="Compact"/>
              <w:jc w:val="left"/>
            </w:pPr>
            <w:r>
              <w:t xml:space="preserve">2,747,250</w:t>
            </w:r>
          </w:p>
        </w:tc>
        <w:tc>
          <w:tcPr/>
          <w:p>
            <w:pPr>
              <w:pStyle w:val="Compact"/>
              <w:jc w:val="left"/>
            </w:pPr>
            <w:r>
              <w:t xml:space="preserve">5,071,320</w:t>
            </w:r>
          </w:p>
        </w:tc>
        <w:tc>
          <w:tcPr/>
          <w:p>
            <w:pPr>
              <w:pStyle w:val="Compact"/>
              <w:jc w:val="left"/>
            </w:pPr>
            <w:r>
              <w:t xml:space="preserve">7,786,158</w:t>
            </w:r>
          </w:p>
        </w:tc>
        <w:tc>
          <w:tcPr/>
          <w:p>
            <w:pPr>
              <w:pStyle w:val="Compact"/>
              <w:jc w:val="left"/>
            </w:pPr>
            <w:r>
              <w:t xml:space="preserve">+184%</w:t>
            </w:r>
          </w:p>
        </w:tc>
      </w:tr>
    </w:tbl>
    <w:p>
      <w:pPr>
        <w:pStyle w:val="BodyText"/>
      </w:pPr>
      <w:r>
        <w:t xml:space="preserve">The 184% YoY revenue growth in Guangzhou significantly outperforms the regional average of 52% for STEM education services. Key drivers include: (1) A government-backed pilot program with Guangzhou Education Bureau covering 47 schools, (2) Strategic partnership with South China University of Technology for research applications, and (3) Successful localization of our flagship "Mathematician AI Tutor" platform to align with China's National Curriculum Standards.</w:t>
      </w:r>
    </w:p>
    <w:bookmarkEnd w:id="22"/>
    <w:bookmarkStart w:id="26" w:name="strategic-market-penetration"/>
    <w:p>
      <w:pPr>
        <w:pStyle w:val="Heading2"/>
      </w:pPr>
      <w:r>
        <w:t xml:space="preserve">Strategic Market Penetration</w:t>
      </w:r>
    </w:p>
    <w:p>
      <w:pPr>
        <w:pStyle w:val="FirstParagraph"/>
      </w:pPr>
      <w:r>
        <w:t xml:space="preserve">Our success in China Guangzhou stems from three pillars:</w:t>
      </w:r>
    </w:p>
    <w:bookmarkStart w:id="23" w:name="culturally-intelligent-localization"/>
    <w:p>
      <w:pPr>
        <w:pStyle w:val="Heading3"/>
      </w:pPr>
      <w:r>
        <w:t xml:space="preserve">1. Culturally Intelligent Localization</w:t>
      </w:r>
    </w:p>
    <w:p>
      <w:pPr>
        <w:pStyle w:val="FirstParagraph"/>
      </w:pPr>
      <w:r>
        <w:t xml:space="preserve">We re-engineered our software interfaces with Mandarin language support, culturally relevant problem sets (e.g., logistics optimization based on Cantonese port trade examples), and compliance with China's Cybersecurity Law. The "Mathematician Guangzhou Edition" now includes 270+ curriculum-aligned exercises approved by the Guangdong Provincial Education Department—significantly boosting adoption among schools wary of foreign educational tools.</w:t>
      </w:r>
    </w:p>
    <w:bookmarkEnd w:id="23"/>
    <w:bookmarkStart w:id="24" w:name="X4ae76b6dea5e6e69b564e07740be21d3b828d0f"/>
    <w:p>
      <w:pPr>
        <w:pStyle w:val="Heading3"/>
      </w:pPr>
      <w:r>
        <w:t xml:space="preserve">2. Government-Driven Institutional Partnerships</w:t>
      </w:r>
    </w:p>
    <w:p>
      <w:pPr>
        <w:pStyle w:val="FirstParagraph"/>
      </w:pPr>
      <w:r>
        <w:t xml:space="preserve">Rather than targeting individual customers, we secured contracts with major governmental entities:</w:t>
      </w:r>
    </w:p>
    <w:p>
      <w:pPr>
        <w:numPr>
          <w:ilvl w:val="0"/>
          <w:numId w:val="1001"/>
        </w:numPr>
        <w:pStyle w:val="Compact"/>
      </w:pPr>
      <w:r>
        <w:rPr>
          <w:bCs/>
          <w:b/>
        </w:rPr>
        <w:t xml:space="preserve">Guangzhou Municipal Education Bureau (Q1):</w:t>
      </w:r>
      <w:r>
        <w:t xml:space="preserve"> </w:t>
      </w:r>
      <w:r>
        <w:t xml:space="preserve">Implementation across 47 public schools serving 82,000 students at a total value of ¥3.7M</w:t>
      </w:r>
    </w:p>
    <w:p>
      <w:pPr>
        <w:numPr>
          <w:ilvl w:val="0"/>
          <w:numId w:val="1001"/>
        </w:numPr>
        <w:pStyle w:val="Compact"/>
      </w:pPr>
      <w:r>
        <w:rPr>
          <w:bCs/>
          <w:b/>
        </w:rPr>
        <w:t xml:space="preserve">Nansha District Innovation Hub (Q2):</w:t>
      </w:r>
      <w:r>
        <w:t xml:space="preserve"> </w:t>
      </w:r>
      <w:r>
        <w:t xml:space="preserve">Co-creation of an AI math training module for 15 vocational colleges under the "Digital Guangdong" initiative</w:t>
      </w:r>
    </w:p>
    <w:p>
      <w:pPr>
        <w:numPr>
          <w:ilvl w:val="0"/>
          <w:numId w:val="1001"/>
        </w:numPr>
        <w:pStyle w:val="Compact"/>
      </w:pPr>
      <w:r>
        <w:rPr>
          <w:bCs/>
          <w:b/>
        </w:rPr>
        <w:t xml:space="preserve">Sun Yat-sen University (Q3):</w:t>
      </w:r>
      <w:r>
        <w:t xml:space="preserve"> </w:t>
      </w:r>
      <w:r>
        <w:t xml:space="preserve">Research collaboration on quantum computing applications in mathematical modeling, securing ¥1.2M in funding</w:t>
      </w:r>
    </w:p>
    <w:bookmarkEnd w:id="24"/>
    <w:bookmarkStart w:id="25" w:name="talent-development-ecosystems"/>
    <w:p>
      <w:pPr>
        <w:pStyle w:val="Heading3"/>
      </w:pPr>
      <w:r>
        <w:t xml:space="preserve">3. Talent Development Ecosystems</w:t>
      </w:r>
    </w:p>
    <w:p>
      <w:pPr>
        <w:pStyle w:val="FirstParagraph"/>
      </w:pPr>
      <w:r>
        <w:t xml:space="preserve">We established the "Guangzhou Mathematician Academy" – a free professional development program for 850+ mathematics teachers across Guangdong Province. This initiative, hosted at the Guangzhou International Convention Center, directly addresses China's national shortage of qualified STEM educators while building brand loyalty through value-driven engagement.</w:t>
      </w:r>
    </w:p>
    <w:bookmarkEnd w:id="25"/>
    <w:bookmarkEnd w:id="26"/>
    <w:bookmarkStart w:id="27" w:name="challenges-and-adaptive-strategies"/>
    <w:p>
      <w:pPr>
        <w:pStyle w:val="Heading2"/>
      </w:pPr>
      <w:r>
        <w:t xml:space="preserve">Challenges and Adaptive Strategies</w:t>
      </w:r>
    </w:p>
    <w:p>
      <w:pPr>
        <w:pStyle w:val="FirstParagraph"/>
      </w:pPr>
      <w:r>
        <w:t xml:space="preserve">Initial market entry faced hurdles including:</w:t>
      </w:r>
    </w:p>
    <w:p>
      <w:pPr>
        <w:numPr>
          <w:ilvl w:val="0"/>
          <w:numId w:val="1002"/>
        </w:numPr>
        <w:pStyle w:val="Compact"/>
      </w:pPr>
      <w:r>
        <w:rPr>
          <w:bCs/>
          <w:b/>
        </w:rPr>
        <w:t xml:space="preserve">Cultural Misalignment:</w:t>
      </w:r>
      <w:r>
        <w:t xml:space="preserve"> </w:t>
      </w:r>
      <w:r>
        <w:t xml:space="preserve">Early English-focused interfaces confused local teachers. *Adaptation:* Implemented bilingual (Mandarin/English) training modules developed with Guangdong Education Press</w:t>
      </w:r>
    </w:p>
    <w:p>
      <w:pPr>
        <w:numPr>
          <w:ilvl w:val="0"/>
          <w:numId w:val="1002"/>
        </w:numPr>
        <w:pStyle w:val="Compact"/>
      </w:pPr>
      <w:r>
        <w:rPr>
          <w:bCs/>
          <w:b/>
        </w:rPr>
        <w:t xml:space="preserve">Compliance Complexity:</w:t>
      </w:r>
      <w:r>
        <w:t xml:space="preserve"> </w:t>
      </w:r>
      <w:r>
        <w:t xml:space="preserve">Data localization requirements under China's PIPL law. *Adaptation:* Built dedicated data centers in Guangzhou's Nansha Free Trade Zone, certified by the Cyberspace Administration of China</w:t>
      </w:r>
    </w:p>
    <w:p>
      <w:pPr>
        <w:numPr>
          <w:ilvl w:val="0"/>
          <w:numId w:val="1002"/>
        </w:numPr>
        <w:pStyle w:val="Compact"/>
      </w:pPr>
      <w:r>
        <w:rPr>
          <w:bCs/>
          <w:b/>
        </w:rPr>
        <w:t xml:space="preserve">Competitive Landscape:</w:t>
      </w:r>
      <w:r>
        <w:t xml:space="preserve"> </w:t>
      </w:r>
      <w:r>
        <w:t xml:space="preserve">Established local edtech firms (e.g., Zhihu Education) offering cheaper alternatives. *Adaptation:* Developed tiered pricing with government-subsidized "Guangzhou Access" packages for public institutions</w:t>
      </w:r>
    </w:p>
    <w:bookmarkEnd w:id="27"/>
    <w:bookmarkStart w:id="28" w:name="X61c7ba451ccec06820e258aad4675e619a3ff41"/>
    <w:p>
      <w:pPr>
        <w:pStyle w:val="Heading2"/>
      </w:pPr>
      <w:r>
        <w:t xml:space="preserve">Future Growth Strategy: The 2024 Guangzhou Roadmap</w:t>
      </w:r>
    </w:p>
    <w:p>
      <w:pPr>
        <w:pStyle w:val="FirstParagraph"/>
      </w:pPr>
      <w:r>
        <w:t xml:space="preserve">Building on Q3 2023 momentum, our Guangzhou expansion plan focuses on:</w:t>
      </w:r>
    </w:p>
    <w:p>
      <w:pPr>
        <w:numPr>
          <w:ilvl w:val="0"/>
          <w:numId w:val="1003"/>
        </w:numPr>
        <w:pStyle w:val="Compact"/>
      </w:pPr>
      <w:r>
        <w:rPr>
          <w:bCs/>
          <w:b/>
        </w:rPr>
        <w:t xml:space="preserve">Deepening Government Integration:</w:t>
      </w:r>
      <w:r>
        <w:t xml:space="preserve"> </w:t>
      </w:r>
      <w:r>
        <w:t xml:space="preserve">Targeting the "Guangdong STEM Education 2025" policy through a proposed Guangzhou Math Innovation Center partnership</w:t>
      </w:r>
    </w:p>
    <w:p>
      <w:pPr>
        <w:numPr>
          <w:ilvl w:val="0"/>
          <w:numId w:val="1003"/>
        </w:numPr>
        <w:pStyle w:val="Compact"/>
      </w:pPr>
      <w:r>
        <w:rPr>
          <w:bCs/>
          <w:b/>
        </w:rPr>
        <w:t xml:space="preserve">Tech Localization:</w:t>
      </w:r>
      <w:r>
        <w:t xml:space="preserve"> </w:t>
      </w:r>
      <w:r>
        <w:t xml:space="preserve">Launching a China-developed version of our software (codenamed "Mathematician Phoenix") with full compliance to National Data Security Regulations</w:t>
      </w:r>
    </w:p>
    <w:p>
      <w:pPr>
        <w:numPr>
          <w:ilvl w:val="0"/>
          <w:numId w:val="1003"/>
        </w:numPr>
        <w:pStyle w:val="Compact"/>
      </w:pPr>
      <w:r>
        <w:rPr>
          <w:bCs/>
          <w:b/>
        </w:rPr>
        <w:t xml:space="preserve">University Pipeline Development:</w:t>
      </w:r>
      <w:r>
        <w:t xml:space="preserve"> </w:t>
      </w:r>
      <w:r>
        <w:t xml:space="preserve">Expanding research collaborations with 10+ Guangzhou institutions to commercialize mathematical AI patents</w:t>
      </w:r>
    </w:p>
    <w:p>
      <w:pPr>
        <w:numPr>
          <w:ilvl w:val="0"/>
          <w:numId w:val="1003"/>
        </w:numPr>
        <w:pStyle w:val="Compact"/>
      </w:pPr>
      <w:r>
        <w:rPr>
          <w:bCs/>
          <w:b/>
        </w:rPr>
        <w:t xml:space="preserve">Community Engagement:</w:t>
      </w:r>
      <w:r>
        <w:t xml:space="preserve"> </w:t>
      </w:r>
      <w:r>
        <w:t xml:space="preserve">Scaling the Guangzhou Mathematician Academy to 3,000 teachers by Q2 2024 through government co-funding</w:t>
      </w:r>
    </w:p>
    <w:bookmarkEnd w:id="28"/>
    <w:bookmarkStart w:id="29" w:name="X441254b4db54633a5ac088fd67cdb096757c309"/>
    <w:p>
      <w:pPr>
        <w:pStyle w:val="Heading2"/>
      </w:pPr>
      <w:r>
        <w:t xml:space="preserve">Conclusion: The Mathematician Advantage in Guangzhou</w:t>
      </w:r>
    </w:p>
    <w:p>
      <w:pPr>
        <w:pStyle w:val="FirstParagraph"/>
      </w:pPr>
      <w:r>
        <w:t xml:space="preserve">The China Guangzhou market has proven that Mathematician Solutions' approach—rooted in cultural respect, regulatory foresight, and strategic public-private collaboration—is not merely successful but transformative. By reframing mathematical education through a lens that honors local pedagogical traditions while leveraging global innovation, we've moved beyond simple sales to becoming an essential partner in Guangzhou's STEM advancement ecosystem.</w:t>
      </w:r>
    </w:p>
    <w:p>
      <w:pPr>
        <w:pStyle w:val="BodyText"/>
      </w:pPr>
      <w:r>
        <w:t xml:space="preserve">As the Guangdong-Hong Kong-Macao Greater Bay Area accelerates its digital economy growth, Mathematician Solutions is uniquely positioned to capitalize on this momentum. Our 184% revenue surge in China Guangzhou demonstrates that when technology meets cultural intelligence, it creates sustainable value for both businesses and communities. The next phase will see us scaling from Guangzhou's educational institutions to regional economic development initiatives—proving that the future of mathematics education belongs to those who understand its context as deeply as its equations.</w:t>
      </w:r>
    </w:p>
    <w:p>
      <w:pPr>
        <w:pStyle w:val="BodyText"/>
      </w:pPr>
      <w:r>
        <w:rPr>
          <w:iCs/>
          <w:i/>
        </w:rPr>
        <w:t xml:space="preserve">Prepared by: Mathematician Solutions Global Sales Analytics Team</w:t>
      </w:r>
      <w:r>
        <w:br/>
      </w:r>
      <w:r>
        <w:rPr>
          <w:iCs/>
          <w:i/>
        </w:rPr>
        <w:t xml:space="preserve">Date: October 26, 2023 | Document ID: MAT-SALES-GZ-2023Q3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Guangzhou Market Performance</dc:title>
  <dc:creator/>
  <dc:language>en</dc:language>
  <cp:keywords/>
  <dcterms:created xsi:type="dcterms:W3CDTF">2026-07-21T02:37:14Z</dcterms:created>
  <dcterms:modified xsi:type="dcterms:W3CDTF">2026-07-21T02:37:14Z</dcterms:modified>
</cp:coreProperties>
</file>

<file path=docProps/custom.xml><?xml version="1.0" encoding="utf-8"?>
<Properties xmlns="http://schemas.openxmlformats.org/officeDocument/2006/custom-properties" xmlns:vt="http://schemas.openxmlformats.org/officeDocument/2006/docPropsVTypes"/>
</file>