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7" w:name="X570a30c88fd2c62102f6e8421e217e94ef3edc0"/>
    <w:p>
      <w:pPr>
        <w:pStyle w:val="Heading1"/>
      </w:pPr>
      <w:r>
        <w:t xml:space="preserve">Sales Report: Mathematician Technologies Market Expansion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Mathematician Technologies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Mathematician Technologies across China Shanghai during Q3 2023. Our strategic market penetration has yielded a remarkable 47% year-over-year revenue growth, establishing Shanghai as our flagship Chinese market. The report underscores how our AI-driven mathematics education platform, "Mathematician Pro," has resonated with Shanghai's educational ecosystem through tailored solutions for K-12 schools and corporate training programs. This success positions Mathematician Technologies for accelerated expansion throughout China's eastern economic corridor.</w:t>
      </w:r>
    </w:p>
    <w:bookmarkEnd w:id="20"/>
    <w:bookmarkStart w:id="21" w:name="ii.-market-context-why-shanghai-matters"/>
    <w:p>
      <w:pPr>
        <w:pStyle w:val="Heading2"/>
      </w:pPr>
      <w:r>
        <w:t xml:space="preserve">II. Market Context: Why Shanghai Matters</w:t>
      </w:r>
    </w:p>
    <w:p>
      <w:pPr>
        <w:pStyle w:val="FirstParagraph"/>
      </w:pPr>
      <w:r>
        <w:t xml:space="preserve">As the financial, educational, and technological epicenter of China, Shanghai represents a critical battleground for edtech innovation. With over 13 million students in its education system and 48% of China's top-tier enterprises headquartered here, Shanghai demands solutions that align with national "Digital Education" initiatives (2025 Action Plan). The Mathematician platform directly supports these priorities through its adaptive learning algorithms that align with Shanghai's revised mathematics curriculum standards. Our Q3 results validate our Shanghai-specific market strategy:</w:t>
      </w:r>
      <w:r>
        <w:t xml:space="preserve"> </w:t>
      </w:r>
      <w:r>
        <w:rPr>
          <w:iCs/>
          <w:i/>
        </w:rPr>
        <w:t xml:space="preserve">not merely entering China but redefining mathematical education in the city where innovation converges.</w:t>
      </w:r>
    </w:p>
    <w:bookmarkEnd w:id="21"/>
    <w:bookmarkStart w:id="22" w:name="Xe6cc1b25303f3607560c211553a827d1582a404"/>
    <w:p>
      <w:pPr>
        <w:pStyle w:val="Heading2"/>
      </w:pPr>
      <w:r>
        <w:t xml:space="preserve">III. Sales Performance Breakdown (China Shanghai)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Achievement</w:t>
            </w:r>
          </w:p>
        </w:tc>
      </w:tr>
      <w:tr>
        <w:tc>
          <w:tcPr/>
          <w:p>
            <w:pPr>
              <w:pStyle w:val="Compact"/>
              <w:jc w:val="left"/>
            </w:pPr>
            <w:r>
              <w:t xml:space="preserve">K-12 Schools (Shanghai)</w:t>
            </w:r>
          </w:p>
        </w:tc>
        <w:tc>
          <w:tcPr/>
          <w:p>
            <w:pPr>
              <w:pStyle w:val="Compact"/>
              <w:jc w:val="left"/>
            </w:pPr>
            <w:r>
              <w:t xml:space="preserve">CNY 18.7M</w:t>
            </w:r>
          </w:p>
        </w:tc>
        <w:tc>
          <w:tcPr/>
          <w:p>
            <w:pPr>
              <w:pStyle w:val="Compact"/>
              <w:jc w:val="left"/>
            </w:pPr>
            <w:r>
              <w:t xml:space="preserve">+62%</w:t>
            </w:r>
          </w:p>
        </w:tc>
        <w:tc>
          <w:tcPr/>
          <w:p>
            <w:pPr>
              <w:pStyle w:val="Compact"/>
              <w:jc w:val="left"/>
            </w:pPr>
            <w:r>
              <w:t xml:space="preserve">Secured 98 new district-level contracts, including Pudong New Area Education Bureau</w:t>
            </w:r>
          </w:p>
        </w:tc>
      </w:tr>
      <w:tr>
        <w:tc>
          <w:tcPr/>
          <w:p>
            <w:pPr>
              <w:pStyle w:val="Compact"/>
              <w:jc w:val="left"/>
            </w:pPr>
            <w:r>
              <w:t xml:space="preserve">Corporate Training (Shanghai HQs)</w:t>
            </w:r>
          </w:p>
        </w:tc>
        <w:tc>
          <w:tcPr/>
          <w:p>
            <w:pPr>
              <w:pStyle w:val="Compact"/>
              <w:jc w:val="left"/>
            </w:pPr>
            <w:r>
              <w:t xml:space="preserve">CNY 7.4M</w:t>
            </w:r>
          </w:p>
        </w:tc>
        <w:tc>
          <w:tcPr/>
          <w:p>
            <w:pPr>
              <w:pStyle w:val="Compact"/>
              <w:jc w:val="left"/>
            </w:pPr>
            <w:r>
              <w:t xml:space="preserve">+31%</w:t>
            </w:r>
          </w:p>
        </w:tc>
        <w:tc>
          <w:tcPr/>
          <w:p>
            <w:pPr>
              <w:pStyle w:val="Compact"/>
              <w:jc w:val="left"/>
            </w:pPr>
            <w:r>
              <w:t xml:space="preserve">First enterprise contract with Alibaba Group's Talent Development Division</w:t>
            </w:r>
          </w:p>
        </w:tc>
      </w:tr>
      <w:tr>
        <w:tc>
          <w:tcPr/>
          <w:p>
            <w:pPr>
              <w:pStyle w:val="Compact"/>
              <w:jc w:val="left"/>
            </w:pPr>
            <w:r>
              <w:t xml:space="preserve">Parent Subscription Platform</w:t>
            </w:r>
          </w:p>
        </w:tc>
        <w:tc>
          <w:tcPr/>
          <w:p>
            <w:pPr>
              <w:pStyle w:val="Compact"/>
              <w:jc w:val="left"/>
            </w:pPr>
            <w:r>
              <w:t xml:space="preserve">CNY 5.2M</w:t>
            </w:r>
          </w:p>
        </w:tc>
        <w:tc>
          <w:tcPr/>
          <w:p>
            <w:pPr>
              <w:pStyle w:val="Compact"/>
              <w:jc w:val="left"/>
            </w:pPr>
            <w:r>
              <w:t xml:space="preserve">+78%</w:t>
            </w:r>
          </w:p>
        </w:tc>
        <w:tc>
          <w:tcPr/>
          <w:p>
            <w:pPr>
              <w:pStyle w:val="Compact"/>
              <w:jc w:val="left"/>
            </w:pPr>
            <w:r>
              <w:t xml:space="preserve">340,000+ active user accounts in Shanghai households</w:t>
            </w:r>
          </w:p>
        </w:tc>
      </w:tr>
      <w:tr>
        <w:tc>
          <w:tcPr/>
          <w:p>
            <w:pPr>
              <w:pStyle w:val="Compact"/>
              <w:jc w:val="left"/>
            </w:pPr>
            <w:r>
              <w:rPr>
                <w:iCs/>
                <w:i/>
              </w:rPr>
              <w:t xml:space="preserve">Total Shanghai Revenue</w:t>
            </w:r>
          </w:p>
        </w:tc>
        <w:tc>
          <w:tcPr/>
          <w:p>
            <w:pPr>
              <w:pStyle w:val="Compact"/>
              <w:jc w:val="left"/>
            </w:pPr>
            <w:r>
              <w:rPr>
                <w:iCs/>
                <w:i/>
              </w:rPr>
              <w:t xml:space="preserve">CNY 31.3M</w:t>
            </w:r>
          </w:p>
        </w:tc>
        <w:tc>
          <w:tcPr/>
          <w:p>
            <w:pPr>
              <w:pStyle w:val="Compact"/>
              <w:jc w:val="left"/>
            </w:pPr>
            <w:r>
              <w:rPr>
                <w:iCs/>
                <w:i/>
              </w:rPr>
              <w:t xml:space="preserve">+47%</w:t>
            </w:r>
          </w:p>
        </w:tc>
        <w:tc>
          <w:tcPr/>
          <w:p>
            <w:pPr>
              <w:pStyle w:val="Compact"/>
              <w:jc w:val="left"/>
            </w:pPr>
            <w:r>
              <w:rPr>
                <w:iCs/>
                <w:i/>
              </w:rPr>
              <w:t xml:space="preserve">Exceeded Q3 target by 22%</w:t>
            </w:r>
          </w:p>
        </w:tc>
      </w:tr>
    </w:tbl>
    <w:bookmarkEnd w:id="22"/>
    <w:bookmarkStart w:id="23" w:name="Xb6f6bb47713df32aa94f26874619150c06ed145"/>
    <w:p>
      <w:pPr>
        <w:pStyle w:val="Heading2"/>
      </w:pPr>
      <w:r>
        <w:t xml:space="preserve">IV. Strategic Initiatives Driving Shanghai Success</w:t>
      </w:r>
    </w:p>
    <w:p>
      <w:pPr>
        <w:pStyle w:val="FirstParagraph"/>
      </w:pPr>
      <w:r>
        <w:rPr>
          <w:bCs/>
          <w:b/>
        </w:rPr>
        <w:t xml:space="preserve">A. Localization for Shanghai's Educational Ecosystem:</w:t>
      </w:r>
      <w:r>
        <w:t xml:space="preserve"> </w:t>
      </w:r>
      <w:r>
        <w:t xml:space="preserve">We deployed a dedicated Shanghai team of 15 bilingual (Mandarin/English) educators to co-develop content with local curriculum experts. The "Mathematician Shanghai Edition" now features problem sets based on municipal exam patterns, including Pudong's new AI literacy assessments. This cultural adaptation directly contributed to our 68% school renewal rate in Q3.</w:t>
      </w:r>
    </w:p>
    <w:p>
      <w:pPr>
        <w:pStyle w:val="BodyText"/>
      </w:pPr>
      <w:r>
        <w:rPr>
          <w:bCs/>
          <w:b/>
        </w:rPr>
        <w:t xml:space="preserve">B. Corporate Partnership Acceleration:</w:t>
      </w:r>
      <w:r>
        <w:t xml:space="preserve"> </w:t>
      </w:r>
      <w:r>
        <w:t xml:space="preserve">Our partnership with Shanghai’s Free Trade Zone Authority enabled seamless integration with the "Smart City Education" initiative. The Mathematician Pro platform now serves 12,000+ employees at Shanghainese tech firms like ByteDance and NIO, positioning us as the preferred math training solution for China's innovation hubs.</w:t>
      </w:r>
    </w:p>
    <w:p>
      <w:pPr>
        <w:pStyle w:val="BodyText"/>
      </w:pPr>
      <w:r>
        <w:rPr>
          <w:bCs/>
          <w:b/>
        </w:rPr>
        <w:t xml:space="preserve">C. Data-Driven Market Expansion:</w:t>
      </w:r>
      <w:r>
        <w:t xml:space="preserve"> </w:t>
      </w:r>
      <w:r>
        <w:t xml:space="preserve">Using Shanghai-specific analytics (e.g., tracking demand spikes during "Double 11" shopping festivals), we launched targeted promotions that increased parental sign-ups by 37% in Q3. The "Mathematician Learning Passport" digital credential, now adopted by 42% of Shanghai middle schools, has become a key differentiator.</w:t>
      </w:r>
    </w:p>
    <w:bookmarkEnd w:id="23"/>
    <w:bookmarkStart w:id="24" w:name="v.-challenges-and-strategic-response"/>
    <w:p>
      <w:pPr>
        <w:pStyle w:val="Heading2"/>
      </w:pPr>
      <w:r>
        <w:t xml:space="preserve">V. Challenges and Strategic Response</w:t>
      </w:r>
    </w:p>
    <w:p>
      <w:pPr>
        <w:pStyle w:val="FirstParagraph"/>
      </w:pPr>
      <w:r>
        <w:t xml:space="preserve">While Shanghai presents immense opportunity, we faced two critical challenges:</w:t>
      </w:r>
    </w:p>
    <w:p>
      <w:pPr>
        <w:numPr>
          <w:ilvl w:val="0"/>
          <w:numId w:val="1001"/>
        </w:numPr>
        <w:pStyle w:val="Compact"/>
      </w:pPr>
      <w:r>
        <w:rPr>
          <w:bCs/>
          <w:b/>
        </w:rPr>
        <w:t xml:space="preserve">Regulatory Navigation:</w:t>
      </w:r>
      <w:r>
        <w:t xml:space="preserve"> </w:t>
      </w:r>
      <w:r>
        <w:t xml:space="preserve">Initial delays in obtaining Shanghai Education Bureau certification were overcome through direct collaboration with the Municipal Education Commission's Digital Learning Division. Our Q3 submission was approved 3 weeks ahead of schedule.</w:t>
      </w:r>
    </w:p>
    <w:p>
      <w:pPr>
        <w:numPr>
          <w:ilvl w:val="0"/>
          <w:numId w:val="1001"/>
        </w:numPr>
        <w:pStyle w:val="Compact"/>
      </w:pPr>
      <w:r>
        <w:rPr>
          <w:bCs/>
          <w:b/>
        </w:rPr>
        <w:t xml:space="preserve">Competition Pressure:</w:t>
      </w:r>
      <w:r>
        <w:t xml:space="preserve"> </w:t>
      </w:r>
      <w:r>
        <w:t xml:space="preserve">Local competitor "MathGenius" launched aggressive pricing during Shanghai's back-to-school season. We countered with value-based bundling (e.g., "Mathematician + STEM Lab Access"), which retained 94% of at-risk clients.</w:t>
      </w:r>
    </w:p>
    <w:bookmarkEnd w:id="24"/>
    <w:bookmarkStart w:id="25" w:name="X9509810f265b551d37ba2f8eb3f728fcbad8af9"/>
    <w:p>
      <w:pPr>
        <w:pStyle w:val="Heading2"/>
      </w:pPr>
      <w:r>
        <w:t xml:space="preserve">VI. Future Outlook: The Mathematician Shanghai Imperative</w:t>
      </w:r>
    </w:p>
    <w:p>
      <w:pPr>
        <w:pStyle w:val="FirstParagraph"/>
      </w:pPr>
      <w:r>
        <w:t xml:space="preserve">Shanghai's success is not an endpoint but a launchpad. Our Q4 strategy centers on three pillars:</w:t>
      </w:r>
    </w:p>
    <w:p>
      <w:pPr>
        <w:numPr>
          <w:ilvl w:val="0"/>
          <w:numId w:val="1002"/>
        </w:numPr>
        <w:pStyle w:val="Compact"/>
      </w:pPr>
      <w:r>
        <w:rPr>
          <w:bCs/>
          <w:b/>
        </w:rPr>
        <w:t xml:space="preserve">Deepening Municipal Integration:</w:t>
      </w:r>
      <w:r>
        <w:t xml:space="preserve"> </w:t>
      </w:r>
      <w:r>
        <w:t xml:space="preserve">Targeting 100% of Shanghai's "Education Digital Twin" pilot schools by Q2 2024.</w:t>
      </w:r>
    </w:p>
    <w:p>
      <w:pPr>
        <w:numPr>
          <w:ilvl w:val="0"/>
          <w:numId w:val="1002"/>
        </w:numPr>
        <w:pStyle w:val="Compact"/>
      </w:pPr>
      <w:r>
        <w:rPr>
          <w:bCs/>
          <w:b/>
        </w:rPr>
        <w:t xml:space="preserve">Cross-Sector Expansion:</w:t>
      </w:r>
      <w:r>
        <w:t xml:space="preserve"> </w:t>
      </w:r>
      <w:r>
        <w:t xml:space="preserve">Adapting the Mathematician platform for Shanghai's emerging AI training sector (e.g., custom modules for Huawei's AI Academy).</w:t>
      </w:r>
    </w:p>
    <w:p>
      <w:pPr>
        <w:numPr>
          <w:ilvl w:val="0"/>
          <w:numId w:val="1002"/>
        </w:numPr>
        <w:pStyle w:val="Compact"/>
      </w:pPr>
      <w:r>
        <w:rPr>
          <w:bCs/>
          <w:b/>
        </w:rPr>
        <w:t xml:space="preserve">Sustainability Leadership:</w:t>
      </w:r>
      <w:r>
        <w:t xml:space="preserve"> </w:t>
      </w:r>
      <w:r>
        <w:t xml:space="preserve">Launching "Green Math" initiatives co-developed with Shanghai Green Finance Association to align with municipal ESG goals.</w:t>
      </w:r>
    </w:p>
    <w:p>
      <w:pPr>
        <w:pStyle w:val="FirstParagraph"/>
      </w:pPr>
      <w:r>
        <w:t xml:space="preserve">This Q3 performance proves that Mathematician Technologies has not just entered China Shanghai—it has become integral to its mathematical future. The sales trajectory in this city now serves as our global benchmark. As we state in our corporate mission:</w:t>
      </w:r>
      <w:r>
        <w:t xml:space="preserve"> </w:t>
      </w:r>
      <w:r>
        <w:rPr>
          <w:iCs/>
          <w:i/>
        </w:rPr>
        <w:t xml:space="preserve">"We don't just provide math solutions; we build the mathematicians of tomorrow, starting with Shanghai."</w:t>
      </w:r>
    </w:p>
    <w:bookmarkEnd w:id="25"/>
    <w:bookmarkStart w:id="26" w:name="vii.-conclusion"/>
    <w:p>
      <w:pPr>
        <w:pStyle w:val="Heading2"/>
      </w:pPr>
      <w:r>
        <w:t xml:space="preserve">VII. Conclusion</w:t>
      </w:r>
    </w:p>
    <w:p>
      <w:pPr>
        <w:pStyle w:val="FirstParagraph"/>
      </w:pPr>
      <w:r>
        <w:t xml:space="preserve">The Mathematician Sales Report for China Shanghai unequivocally demonstrates market leadership through innovation and cultural intelligence. With revenue growth outpacing the national edtech average by 3.8x and deepening partnerships across education, enterprise, and government sectors, Shanghai has become our most valuable strategic asset. We stand ready to scale this model across Tier-1 Chinese cities while maintaining our core commitment:</w:t>
      </w:r>
      <w:r>
        <w:t xml:space="preserve"> </w:t>
      </w:r>
      <w:r>
        <w:rPr>
          <w:bCs/>
          <w:b/>
        </w:rPr>
        <w:t xml:space="preserve">to make mathematics accessible, relevant, and transformative for every learner in China's most dynamic city.</w:t>
      </w:r>
    </w:p>
    <w:p>
      <w:pPr>
        <w:pStyle w:val="BodyText"/>
      </w:pPr>
      <w:r>
        <w:rPr>
          <w:iCs/>
          <w:i/>
        </w:rPr>
        <w:t xml:space="preserve">This Sales Report is confidential. Distribution restricted to Mathematician Technologies executives and authorized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China Shanghai Market Performance</dc:title>
  <dc:creator/>
  <dc:language>en</dc:language>
  <cp:keywords/>
  <dcterms:created xsi:type="dcterms:W3CDTF">2026-07-23T00:16:27Z</dcterms:created>
  <dcterms:modified xsi:type="dcterms:W3CDTF">2026-07-23T00:16:27Z</dcterms:modified>
</cp:coreProperties>
</file>

<file path=docProps/custom.xml><?xml version="1.0" encoding="utf-8"?>
<Properties xmlns="http://schemas.openxmlformats.org/officeDocument/2006/custom-properties" xmlns:vt="http://schemas.openxmlformats.org/officeDocument/2006/docPropsVTypes"/>
</file>