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Mathematical</w:t>
      </w:r>
      <w:r>
        <w:t xml:space="preserve"> </w:t>
      </w:r>
      <w:r>
        <w:t xml:space="preserve">Innovation</w:t>
      </w:r>
      <w:r>
        <w:t xml:space="preserve"> </w:t>
      </w:r>
      <w:r>
        <w:t xml:space="preserve">Driving</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31" w:name="Xb9e1a89f234ce164d0e5552d4472d97c3c71ffa"/>
    <w:p>
      <w:pPr>
        <w:pStyle w:val="Heading1"/>
      </w:pPr>
      <w:r>
        <w:t xml:space="preserve">Sales Report: Mathematical Innovation Driving Growth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Colombia Medellín Market</w:t>
      </w:r>
      <w:r>
        <w:br/>
      </w:r>
      <w:r>
        <w:rPr>
          <w:bCs/>
          <w:b/>
        </w:rPr>
        <w:t xml:space="preserve">Report Period:</w:t>
      </w:r>
      <w:r>
        <w:t xml:space="preserve"> </w:t>
      </w:r>
      <w:r>
        <w:t xml:space="preserve">Q3 2023 (July–September)</w:t>
      </w:r>
    </w:p>
    <w:bookmarkStart w:id="20" w:name="executive-summary"/>
    <w:p>
      <w:pPr>
        <w:pStyle w:val="Heading2"/>
      </w:pPr>
      <w:r>
        <w:t xml:space="preserve">Executive Summary</w:t>
      </w:r>
    </w:p>
    <w:p>
      <w:pPr>
        <w:pStyle w:val="FirstParagraph"/>
      </w:pPr>
      <w:r>
        <w:t xml:space="preserve">This Sales Report details the unprecedented growth of our mathematical analytics services across Medellín, Colombia. As the demand for data-driven decision-making surges in Colombia’s second-largest city, our brand "Mathematician Solutions" has emerged as a pivotal partner for local enterprises. In Q3 2023, we achieved a</w:t>
      </w:r>
      <w:r>
        <w:t xml:space="preserve"> </w:t>
      </w:r>
      <w:r>
        <w:rPr>
          <w:bCs/>
          <w:b/>
        </w:rPr>
        <w:t xml:space="preserve">127% year-over-year revenue increase</w:t>
      </w:r>
      <w:r>
        <w:t xml:space="preserve">, securing contracts with 48 new clients across Medellín’s key sectors: manufacturing, healthcare, finance, and municipal services. This growth underscores the strategic importance of mathematical expertise in Colombia Medellín’s transformation into a regional innovation hub.</w:t>
      </w:r>
    </w:p>
    <w:bookmarkEnd w:id="20"/>
    <w:bookmarkStart w:id="21" w:name="X5f2285696a86d8b6913994b99c3a5b065277d56"/>
    <w:p>
      <w:pPr>
        <w:pStyle w:val="Heading2"/>
      </w:pPr>
      <w:r>
        <w:t xml:space="preserve">Market Context: Why "Mathematician" Matters in Colombia Medellín</w:t>
      </w:r>
    </w:p>
    <w:p>
      <w:pPr>
        <w:pStyle w:val="FirstParagraph"/>
      </w:pPr>
      <w:r>
        <w:t xml:space="preserve">Colombia Medellín has undergone a remarkable socioeconomic evolution, transitioning from its turbulent past to become a beacon of urban innovation. The city’s investment in STEM education—evidenced by the University of Antioquia’s top-ranked mathematics program and initiatives like "Medellín Innovación"—has created a fertile ground for data-centric solutions. As local businesses navigate challenges such as optimizing public transportation networks (e.g., Medellín’s Metrocable system), reducing operational costs in coffee supply chains, and enhancing healthcare resource allocation, the demand for mathematical expertise has become non-negotiable. Our "Mathematician" service model directly addresses this need by offering tailored analytics, predictive modeling, and AI integration—proven to boost client efficiency by 35–60%.</w:t>
      </w:r>
    </w:p>
    <w:bookmarkEnd w:id="21"/>
    <w:bookmarkStart w:id="22" w:name="q3-2023-sales-performance-key-metrics"/>
    <w:p>
      <w:pPr>
        <w:pStyle w:val="Heading2"/>
      </w:pPr>
      <w:r>
        <w:t xml:space="preserve">Q3 2023 Sales Performance: Key Metrics</w:t>
      </w:r>
    </w:p>
    <w:p>
      <w:pPr>
        <w:pStyle w:val="FirstParagraph"/>
      </w:pPr>
      <w:r>
        <w:t xml:space="preserve">Category</w:t>
      </w:r>
    </w:p>
    <w:p>
      <w:pPr>
        <w:pStyle w:val="BodyText"/>
      </w:pPr>
      <w:r>
        <w:t xml:space="preserve">Q3 2023 Value</w:t>
      </w:r>
    </w:p>
    <w:p>
      <w:pPr>
        <w:pStyle w:val="BodyText"/>
      </w:pPr>
      <w:r>
        <w:t xml:space="preserve">YoY Change</w:t>
      </w:r>
    </w:p>
    <w:p>
      <w:pPr>
        <w:pStyle w:val="BodyText"/>
      </w:pPr>
      <w:r>
        <w:t xml:space="preserve">Market Share in Medellín</w:t>
      </w:r>
    </w:p>
    <w:p>
      <w:pPr>
        <w:pStyle w:val="BodyText"/>
      </w:pPr>
      <w:r>
        <w:t xml:space="preserve">Total Revenue</w:t>
      </w:r>
    </w:p>
    <w:p>
      <w:pPr>
        <w:pStyle w:val="BodyText"/>
      </w:pPr>
      <w:r>
        <w:t xml:space="preserve">$845,000 COP (≈$215,000 USD)</w:t>
      </w:r>
    </w:p>
    <w:p>
      <w:pPr>
        <w:pStyle w:val="BodyText"/>
      </w:pPr>
      <w:r>
        <w:t xml:space="preserve">+127%</w:t>
      </w:r>
    </w:p>
    <w:p>
      <w:pPr>
        <w:pStyle w:val="BodyText"/>
      </w:pPr>
      <w:r>
        <w:t xml:space="preserve">32% (up from 19% in Q3 2022)</w:t>
      </w:r>
    </w:p>
    <w:p>
      <w:pPr>
        <w:pStyle w:val="BodyText"/>
      </w:pPr>
      <w:r>
        <w:t xml:space="preserve">New Client Acquisition</w:t>
      </w:r>
    </w:p>
    <w:p>
      <w:pPr>
        <w:pStyle w:val="BodyText"/>
      </w:pPr>
      <w:r>
        <w:t xml:space="preserve">48</w:t>
      </w:r>
    </w:p>
    <w:p>
      <w:pPr>
        <w:pStyle w:val="BodyText"/>
      </w:pPr>
      <w:r>
        <w:t xml:space="preserve">+156%</w:t>
      </w:r>
    </w:p>
    <w:p>
      <w:pPr>
        <w:pStyle w:val="BodyText"/>
      </w:pPr>
      <w:r>
        <w:t xml:space="preserve">N/A</w:t>
      </w:r>
    </w:p>
    <w:p>
      <w:pPr>
        <w:pStyle w:val="BodyText"/>
      </w:pPr>
      <w:r>
        <w:t xml:space="preserve">92%</w:t>
      </w:r>
      <w:r>
        <w:br/>
      </w:r>
      <w:r>
        <w:t xml:space="preserve">(vs. 84% industry avg)</w:t>
      </w:r>
      <w:r>
        <w:br/>
      </w:r>
      <w:r>
        <w:t xml:space="preserve">2023)</w:t>
      </w:r>
    </w:p>
    <w:p>
      <w:pPr>
        <w:pStyle w:val="BodyText"/>
      </w:pPr>
      <w:r>
        <w:t xml:space="preserve">Notable wins include:</w:t>
      </w:r>
      <w:r>
        <w:t xml:space="preserve"> </w:t>
      </w:r>
      <w:r>
        <w:t xml:space="preserve">-</w:t>
      </w:r>
      <w:r>
        <w:t xml:space="preserve"> </w:t>
      </w:r>
      <w:r>
        <w:rPr>
          <w:iCs/>
          <w:i/>
        </w:rPr>
        <w:t xml:space="preserve">EPM (Empresas Públicas de Medellín)</w:t>
      </w:r>
      <w:r>
        <w:t xml:space="preserve">: A $185,000 contract to optimize energy distribution using predictive algorithms, reducing citywide power outages by 28%.</w:t>
      </w:r>
      <w:r>
        <w:t xml:space="preserve"> </w:t>
      </w:r>
      <w:r>
        <w:t xml:space="preserve">-</w:t>
      </w:r>
      <w:r>
        <w:t xml:space="preserve"> </w:t>
      </w:r>
      <w:r>
        <w:rPr>
          <w:iCs/>
          <w:i/>
        </w:rPr>
        <w:t xml:space="preserve">Grupo SURA</w:t>
      </w:r>
      <w:r>
        <w:t xml:space="preserve">: A $142,000 project integrating mathematical risk models into insurance products for Medellín’s SMEs.</w:t>
      </w:r>
      <w:r>
        <w:t xml:space="preserve"> </w:t>
      </w:r>
      <w:r>
        <w:t xml:space="preserve">-</w:t>
      </w:r>
      <w:r>
        <w:t xml:space="preserve"> </w:t>
      </w:r>
      <w:r>
        <w:rPr>
          <w:iCs/>
          <w:i/>
        </w:rPr>
        <w:t xml:space="preserve">Café de Colombia Consortium</w:t>
      </w:r>
      <w:r>
        <w:t xml:space="preserve">: A $98,000 solution to forecast coffee yield fluctuations using climate data, supporting 12 regional cooperatives.</w:t>
      </w:r>
    </w:p>
    <w:bookmarkEnd w:id="22"/>
    <w:bookmarkStart w:id="26" w:name="X5c0ab09ec8fc2e3a602f95e299a46c589928237"/>
    <w:p>
      <w:pPr>
        <w:pStyle w:val="Heading2"/>
      </w:pPr>
      <w:r>
        <w:t xml:space="preserve">Regional Growth Drivers in Colombia Medellín</w:t>
      </w:r>
    </w:p>
    <w:p>
      <w:pPr>
        <w:pStyle w:val="FirstParagraph"/>
      </w:pPr>
      <w:r>
        <w:t xml:space="preserve">Three factors distinguish our success in Colombia Medellín:</w:t>
      </w:r>
    </w:p>
    <w:bookmarkStart w:id="23" w:name="alignment-with-local-economic-priorities"/>
    <w:p>
      <w:pPr>
        <w:pStyle w:val="Heading3"/>
      </w:pPr>
      <w:r>
        <w:t xml:space="preserve">1. Alignment with Local Economic Priorities</w:t>
      </w:r>
    </w:p>
    <w:p>
      <w:pPr>
        <w:pStyle w:val="FirstParagraph"/>
      </w:pPr>
      <w:r>
        <w:t xml:space="preserve">The City of Medellín’s "Medellín 2050" strategic plan prioritizes digital transformation. Our "Mathematician" services directly support this by enabling:</w:t>
      </w:r>
      <w:r>
        <w:t xml:space="preserve"> </w:t>
      </w:r>
      <w:r>
        <w:t xml:space="preserve">- Real-time traffic optimization for the *Metrocable* network (reducing commute times by 18%).</w:t>
      </w:r>
      <w:r>
        <w:t xml:space="preserve"> </w:t>
      </w:r>
      <w:r>
        <w:t xml:space="preserve">- Dynamic pricing models for *Parque Arví* tourism, increasing seasonal revenue by 22%.</w:t>
      </w:r>
      <w:r>
        <w:t xml:space="preserve"> </w:t>
      </w:r>
      <w:r>
        <w:t xml:space="preserve">- Fraud detection systems adopted by *Bancolombia’s Medellín branch*, saving $370K annually.</w:t>
      </w:r>
    </w:p>
    <w:bookmarkEnd w:id="23"/>
    <w:bookmarkStart w:id="24" w:name="local-talent-integration"/>
    <w:p>
      <w:pPr>
        <w:pStyle w:val="Heading3"/>
      </w:pPr>
      <w:r>
        <w:t xml:space="preserve">2. Local Talent Integration</w:t>
      </w:r>
    </w:p>
    <w:p>
      <w:pPr>
        <w:pStyle w:val="FirstParagraph"/>
      </w:pPr>
      <w:r>
        <w:t xml:space="preserve">We partner exclusively with Colombian mathematicians from institutions like the University of Antioquia and EAFIT. This ensures cultural fluency and contextual relevance—e.g., our team developed a model to predict rainfall impact on Medellín’s *Comuna 13* infrastructure, directly addressing community needs. This local expertise is a key differentiator, with 89% of clients citing "deep understanding of Medellín’s challenges" as their primary reason for engagement.</w:t>
      </w:r>
    </w:p>
    <w:bookmarkEnd w:id="24"/>
    <w:bookmarkStart w:id="25" w:name="government-and-ngo-collaboration"/>
    <w:p>
      <w:pPr>
        <w:pStyle w:val="Heading3"/>
      </w:pPr>
      <w:r>
        <w:t xml:space="preserve">3. Government and NGO Collaboration</w:t>
      </w:r>
    </w:p>
    <w:p>
      <w:pPr>
        <w:pStyle w:val="FirstParagraph"/>
      </w:pPr>
      <w:r>
        <w:t xml:space="preserve">Cities across Colombia are funding STEM initiatives, and Medellín is no exception. We secured a $250,000 contract with *Fundación Carlos Slim* to train 147 public sector analysts in mathematical modeling—a program now scaled citywide. This partnership positions "Mathematician" as an agent of institutional change rather than just a vendor.</w:t>
      </w:r>
    </w:p>
    <w:bookmarkEnd w:id="25"/>
    <w:bookmarkEnd w:id="26"/>
    <w:bookmarkStart w:id="27" w:name="X912e6f2d89df7ad977191fea2373a4783bd2109"/>
    <w:p>
      <w:pPr>
        <w:pStyle w:val="Heading2"/>
      </w:pPr>
      <w:r>
        <w:t xml:space="preserve">Client Testimonials: Colombia Medellín Voices</w:t>
      </w:r>
    </w:p>
    <w:p>
      <w:pPr>
        <w:pStyle w:val="BlockText"/>
      </w:pPr>
      <w:r>
        <w:t xml:space="preserve">"</w:t>
      </w:r>
      <w:r>
        <w:rPr>
          <w:iCs/>
          <w:i/>
        </w:rPr>
        <w:t xml:space="preserve">The Mathematician team didn’t just deliver a model—they transformed how we allocate resources in Medellín’s public hospitals. Their solution reduced patient wait times by 31% during peak seasons. For a city like ours, that’s life-changing.</w:t>
      </w:r>
      <w:r>
        <w:t xml:space="preserve">"</w:t>
      </w:r>
      <w:r>
        <w:t xml:space="preserve"> </w:t>
      </w:r>
      <w:r>
        <w:rPr>
          <w:bCs/>
          <w:b/>
        </w:rPr>
        <w:t xml:space="preserve">- Dr. Sofia Mora, Director of Health Analytics, ESE San Juan</w:t>
      </w:r>
    </w:p>
    <w:p>
      <w:pPr>
        <w:pStyle w:val="BlockText"/>
      </w:pPr>
      <w:r>
        <w:t xml:space="preserve">"</w:t>
      </w:r>
      <w:r>
        <w:rPr>
          <w:iCs/>
          <w:i/>
        </w:rPr>
        <w:t xml:space="preserve">As a coffee producer in Santa Elena (Medellín region), we were drowning in data. Mathematician turned chaos into strategy: our yield predictions are now 95% accurate. That’s how we secured export contracts with EU partners.</w:t>
      </w:r>
      <w:r>
        <w:t xml:space="preserve">"</w:t>
      </w:r>
      <w:r>
        <w:t xml:space="preserve"> </w:t>
      </w:r>
      <w:r>
        <w:rPr>
          <w:bCs/>
          <w:b/>
        </w:rPr>
        <w:t xml:space="preserve">- Carlos Vargas, CEO, Cooperativa Cafetera del Norte</w:t>
      </w:r>
    </w:p>
    <w:bookmarkEnd w:id="27"/>
    <w:bookmarkStart w:id="28" w:name="challenges-and-strategic-response"/>
    <w:p>
      <w:pPr>
        <w:pStyle w:val="Heading2"/>
      </w:pPr>
      <w:r>
        <w:t xml:space="preserve">Challenges and Strategic Response</w:t>
      </w:r>
    </w:p>
    <w:p>
      <w:pPr>
        <w:pStyle w:val="FirstParagraph"/>
      </w:pPr>
      <w:r>
        <w:t xml:space="preserve">Despite robust growth, challenges persist in Colombia Medellín:</w:t>
      </w:r>
      <w:r>
        <w:t xml:space="preserve"> </w:t>
      </w:r>
      <w:r>
        <w:t xml:space="preserve">- **Limited Awareness**: 41% of SMEs still view mathematical services as "too complex." *Our solution*: Launched free "Math for Medellín" workshops at *El Poblado Business Hub*, reaching 2,300 entrepreneurs.</w:t>
      </w:r>
      <w:r>
        <w:t xml:space="preserve"> </w:t>
      </w:r>
      <w:r>
        <w:t xml:space="preserve">- **Currency Volatility**: COP fluctuations impact pricing. *Our solution*: Implemented dynamic pricing in pesos with USD equivalents, ensuring transparency.</w:t>
      </w:r>
      <w:r>
        <w:t xml:space="preserve"> </w:t>
      </w:r>
      <w:r>
        <w:t xml:space="preserve">- **Talent Retention**: Competition from US-based firms for Colombian mathematicians. *Our solution*: Introduced "Mathematician Ambassador" roles, offering equity stakes to top talent.</w:t>
      </w:r>
    </w:p>
    <w:bookmarkEnd w:id="28"/>
    <w:bookmarkStart w:id="29" w:name="Xe816b95f68f53947d87f082f34e9738384e088a"/>
    <w:p>
      <w:pPr>
        <w:pStyle w:val="Heading2"/>
      </w:pPr>
      <w:r>
        <w:t xml:space="preserve">Q4 2023 Roadmap: Scaling Mathematical Impact</w:t>
      </w:r>
    </w:p>
    <w:p>
      <w:pPr>
        <w:pStyle w:val="FirstParagraph"/>
      </w:pPr>
      <w:r>
        <w:t xml:space="preserve">Our focus in Q4 centers on three pillars:</w:t>
      </w:r>
      <w:r>
        <w:t xml:space="preserve"> </w:t>
      </w:r>
      <w:r>
        <w:t xml:space="preserve">1. **Expansion into Medellín’s Micro-Enterprises**: Targeting 500 new clients via a subsidized "Math for All" package (starting at $49 USD/month).</w:t>
      </w:r>
      <w:r>
        <w:t xml:space="preserve"> </w:t>
      </w:r>
      <w:r>
        <w:t xml:space="preserve">2. **Smart City Integration**: Partnering with *Medellín Digital* to embed predictive analytics into city infrastructure management.</w:t>
      </w:r>
      <w:r>
        <w:t xml:space="preserve"> </w:t>
      </w:r>
      <w:r>
        <w:t xml:space="preserve">3. **National Replication**: Using Medellín’s success as a blueprint to launch in Bogotá and Cali by Q1 2024.</w:t>
      </w:r>
    </w:p>
    <w:bookmarkEnd w:id="29"/>
    <w:bookmarkStart w:id="30" w:name="conclusion-the-mathematician-imperative"/>
    <w:p>
      <w:pPr>
        <w:pStyle w:val="Heading2"/>
      </w:pPr>
      <w:r>
        <w:t xml:space="preserve">Conclusion: The Mathematician Imperative</w:t>
      </w:r>
    </w:p>
    <w:p>
      <w:pPr>
        <w:pStyle w:val="FirstParagraph"/>
      </w:pPr>
      <w:r>
        <w:t xml:space="preserve">The data is unequivocal: mathematical expertise is no longer optional—it’s the engine of growth for Colombia Medellín. Our Sales Report confirms that "Mathematician" solutions deliver measurable ROI across sectors, from healthcare to agriculture, and resonate deeply with Medellín’s identity as a city rebuilding through innovation. As the Mayor recently stated during the *Medellín Innovation Summit*: "We don’t just want a smarter city—we need mathematical minds to make it possible." Our performance in Q3 2023 proves we’re not merely keeping pace with this vision; we’re accelerating it. In Colombia Medellín, where every algorithm has a human impact, "Mathematician" isn’t just a brand—it’s the future.</w:t>
      </w:r>
    </w:p>
    <w:p>
      <w:pPr>
        <w:pStyle w:val="BodyText"/>
      </w:pPr>
      <w:r>
        <w:rPr>
          <w:bCs/>
          <w:b/>
        </w:rPr>
        <w:t xml:space="preserve">Appendix: Key Terms Clarification</w:t>
      </w:r>
      <w:r>
        <w:br/>
      </w:r>
      <w:r>
        <w:t xml:space="preserve">-</w:t>
      </w:r>
      <w:r>
        <w:t xml:space="preserve"> </w:t>
      </w:r>
      <w:r>
        <w:rPr>
          <w:iCs/>
          <w:i/>
        </w:rPr>
        <w:t xml:space="preserve">"Mathematician"</w:t>
      </w:r>
      <w:r>
        <w:t xml:space="preserve">: Our service name for end-to-end mathematical analytics (not an individual).</w:t>
      </w:r>
      <w:r>
        <w:t xml:space="preserve"> </w:t>
      </w:r>
      <w:r>
        <w:t xml:space="preserve">-</w:t>
      </w:r>
      <w:r>
        <w:t xml:space="preserve"> </w:t>
      </w:r>
      <w:r>
        <w:rPr>
          <w:iCs/>
          <w:i/>
        </w:rPr>
        <w:t xml:space="preserve">Colombia Medellín</w:t>
      </w:r>
      <w:r>
        <w:t xml:space="preserve">: The market focus, emphasizing local context and cultural relevance.</w:t>
      </w:r>
      <w:r>
        <w:t xml:space="preserve"> </w:t>
      </w:r>
      <w:r>
        <w:t xml:space="preserve">-</w:t>
      </w:r>
      <w:r>
        <w:t xml:space="preserve"> </w:t>
      </w:r>
      <w:r>
        <w:rPr>
          <w:iCs/>
          <w:i/>
        </w:rPr>
        <w:t xml:space="preserve">Sales Report</w:t>
      </w:r>
      <w:r>
        <w:t xml:space="preserve">: Documenting revenue, strategy, and client outcomes in our operational domain.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Mathematical Innovation Driving Growth in Colombia Medellín</dc:title>
  <dc:creator/>
  <dc:language>en</dc:language>
  <cp:keywords/>
  <dcterms:created xsi:type="dcterms:W3CDTF">2026-07-23T14:14:31Z</dcterms:created>
  <dcterms:modified xsi:type="dcterms:W3CDTF">2026-07-23T14:14:31Z</dcterms:modified>
</cp:coreProperties>
</file>

<file path=docProps/custom.xml><?xml version="1.0" encoding="utf-8"?>
<Properties xmlns="http://schemas.openxmlformats.org/officeDocument/2006/custom-properties" xmlns:vt="http://schemas.openxmlformats.org/officeDocument/2006/docPropsVTypes"/>
</file>