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Mathematica</w:t>
      </w:r>
      <w:r>
        <w:t xml:space="preserve"> </w:t>
      </w:r>
      <w:r>
        <w:t xml:space="preserve">Sales</w:t>
      </w:r>
      <w:r>
        <w:t xml:space="preserve"> </w:t>
      </w:r>
      <w:r>
        <w:t xml:space="preserve">Report:</w:t>
      </w:r>
      <w:r>
        <w:t xml:space="preserve"> </w:t>
      </w:r>
      <w:r>
        <w:t xml:space="preserve">Germany</w:t>
      </w:r>
      <w:r>
        <w:t xml:space="preserve"> </w:t>
      </w:r>
      <w:r>
        <w:t xml:space="preserve">Berlin</w:t>
      </w:r>
      <w:r>
        <w:t xml:space="preserve"> </w:t>
      </w:r>
      <w:r>
        <w:t xml:space="preserve">Market</w:t>
      </w:r>
      <w:r>
        <w:t xml:space="preserve"> </w:t>
      </w:r>
      <w:r>
        <w:t xml:space="preserve">Analysis</w:t>
      </w:r>
    </w:p>
    <w:bookmarkStart w:id="28" w:name="X10ef83e69234f5a3b65a5e1660815229278b98b"/>
    <w:p>
      <w:pPr>
        <w:pStyle w:val="Heading1"/>
      </w:pPr>
      <w:r>
        <w:t xml:space="preserve">Comprehensive Sales Report: Mathematica Software Solutions in Germany Berlin Market</w:t>
      </w:r>
    </w:p>
    <w:bookmarkStart w:id="20" w:name="executive-summary"/>
    <w:p>
      <w:pPr>
        <w:pStyle w:val="Heading2"/>
      </w:pPr>
      <w:r>
        <w:t xml:space="preserve">Executive Summary</w:t>
      </w:r>
    </w:p>
    <w:p>
      <w:pPr>
        <w:pStyle w:val="FirstParagraph"/>
      </w:pPr>
      <w:r>
        <w:t xml:space="preserve">This Sales Report details the performance, strategic positioning, and future outlook for Wolfram Research's Mathematica software within the Germany Berlin market. As a premier computational intelligence platform used by mathematicians, engineers, and researchers globally, Mathematica has demonstrated exceptional traction in Berlin's dynamic academic and industrial ecosystem. The report confirms a 27% year-over-year sales growth in Berlin during Q1-Q3 2023, with significant adoption across automotive engineering firms, AI startups, and university research departments. This document addresses the critical need for advanced computational tools within Germany's innovation landscape while emphasizing our commitment to serving Berlin's unique technological demands.</w:t>
      </w:r>
    </w:p>
    <w:bookmarkEnd w:id="20"/>
    <w:bookmarkStart w:id="21" w:name="X5ff49b3478b9c1c6011cc2e9d89866334a13815"/>
    <w:p>
      <w:pPr>
        <w:pStyle w:val="Heading2"/>
      </w:pPr>
      <w:r>
        <w:t xml:space="preserve">Market Analysis: Why Mathematica Thrives in Berlin</w:t>
      </w:r>
    </w:p>
    <w:p>
      <w:pPr>
        <w:pStyle w:val="FirstParagraph"/>
      </w:pPr>
      <w:r>
        <w:t xml:space="preserve">Berlin has emerged as Germany's second-largest hub for STEM talent after Munich, with over 35,000 data scientists and mathematicians working across sectors including automotive (e.g., BMW Group's Berlin R&amp;D), AI startups (e.g., Zalando AI Lab), and research institutions like the Max Planck Institutes. Mathematica's strength lies in its ability to handle complex mathematical modeling—a core competency for Berlin-based mathematicians developing machine learning algorithms, computational finance tools, and quantum computing applications.</w:t>
      </w:r>
    </w:p>
    <w:p>
      <w:pPr>
        <w:pStyle w:val="BodyText"/>
      </w:pPr>
      <w:r>
        <w:t xml:space="preserve">Germany's "Industrie 4.0" initiative has intensified demand for integrated computational platforms. Mathematica uniquely bridges the gap between theoretical mathematics and industrial implementation—addressing a critical pain point for Berlin-based companies where academic research often fails to translate into production-ready solutions. The software’s symbolic computation engine is particularly valued by mathematicians at TU Berlin and HU Berlin, who use it to prototype algorithms before deployment in real-world systems.</w:t>
      </w:r>
    </w:p>
    <w:bookmarkEnd w:id="21"/>
    <w:bookmarkStart w:id="22" w:name="Xa9044e32f09bf98254353cff8cba49fabb9fc85"/>
    <w:p>
      <w:pPr>
        <w:pStyle w:val="Heading2"/>
      </w:pPr>
      <w:r>
        <w:t xml:space="preserve">Key Sales Performance Metrics (Berlin Market)</w:t>
      </w:r>
    </w:p>
    <w:p>
      <w:pPr>
        <w:pStyle w:val="FirstParagraph"/>
      </w:pPr>
      <w:r>
        <w:t xml:space="preserve">Quarter</w:t>
      </w:r>
    </w:p>
    <w:p>
      <w:pPr>
        <w:pStyle w:val="BodyText"/>
      </w:pPr>
      <w:r>
        <w:t xml:space="preserve">Sales Volume</w:t>
      </w:r>
    </w:p>
    <w:p>
      <w:pPr>
        <w:pStyle w:val="BodyText"/>
      </w:pPr>
      <w:r>
        <w:t xml:space="preserve">Growth vs Previous Qtr</w:t>
      </w:r>
    </w:p>
    <w:p>
      <w:pPr>
        <w:pStyle w:val="BodyText"/>
      </w:pPr>
      <w:r>
        <w:t xml:space="preserve">Key Industry Adoption</w:t>
      </w:r>
    </w:p>
    <w:p>
      <w:pPr>
        <w:pStyle w:val="BodyText"/>
      </w:pPr>
      <w:r>
        <w:t xml:space="preserve">H1 2023</w:t>
      </w:r>
    </w:p>
    <w:p>
      <w:pPr>
        <w:pStyle w:val="BodyText"/>
      </w:pPr>
      <w:r>
        <w:t xml:space="preserve">€850,000</w:t>
      </w:r>
    </w:p>
    <w:p>
      <w:pPr>
        <w:pStyle w:val="BodyText"/>
      </w:pPr>
      <w:r>
        <w:t xml:space="preserve">N/A (Baseline)</w:t>
      </w:r>
    </w:p>
    <w:p>
      <w:pPr>
        <w:pStyle w:val="BodyText"/>
      </w:pPr>
      <w:r>
        <w:t xml:space="preserve">University Research: 42%</w:t>
      </w:r>
    </w:p>
    <w:p>
      <w:pPr>
        <w:pStyle w:val="BodyText"/>
      </w:pPr>
      <w:r>
        <w:t xml:space="preserve">H2 2023</w:t>
      </w:r>
    </w:p>
    <w:p>
      <w:pPr>
        <w:pStyle w:val="BodyText"/>
      </w:pPr>
      <w:r>
        <w:t xml:space="preserve">€1,175,000</w:t>
      </w:r>
    </w:p>
    <w:p>
      <w:pPr>
        <w:pStyle w:val="BodyText"/>
      </w:pPr>
      <w:r>
        <w:t xml:space="preserve">38% QoQ</w:t>
      </w:r>
    </w:p>
    <w:p>
      <w:pPr>
        <w:pStyle w:val="BodyText"/>
      </w:pPr>
      <w:r>
        <w:t xml:space="preserve">Automotive/AI Startups: 57%</w:t>
      </w:r>
    </w:p>
    <w:p>
      <w:pPr>
        <w:pStyle w:val="BodyText"/>
      </w:pPr>
      <w:r>
        <w:t xml:space="preserve">The 38% quarterly growth in H2 2023 directly correlates with Berlin's expanding AI ecosystem. Major wins include:</w:t>
      </w:r>
    </w:p>
    <w:p>
      <w:pPr>
        <w:numPr>
          <w:ilvl w:val="0"/>
          <w:numId w:val="1001"/>
        </w:numPr>
        <w:pStyle w:val="Compact"/>
      </w:pPr>
      <w:r>
        <w:t xml:space="preserve">BMW Group Berlin (€310,000 contract): Implementing Mathematica for autonomous vehicle path-planning simulations</w:t>
      </w:r>
    </w:p>
    <w:p>
      <w:pPr>
        <w:numPr>
          <w:ilvl w:val="0"/>
          <w:numId w:val="1001"/>
        </w:numPr>
        <w:pStyle w:val="Compact"/>
      </w:pPr>
      <w:r>
        <w:t xml:space="preserve">Celonis (€195,000): Adopting Mathematica for predictive analytics in manufacturing process optimization</w:t>
      </w:r>
    </w:p>
    <w:p>
      <w:pPr>
        <w:numPr>
          <w:ilvl w:val="0"/>
          <w:numId w:val="1001"/>
        </w:numPr>
        <w:pStyle w:val="Compact"/>
      </w:pPr>
      <w:r>
        <w:t xml:space="preserve">TU Berlin Department of Mathematics: Institutional license covering 2,300 students and faculty (€147,000)</w:t>
      </w:r>
    </w:p>
    <w:bookmarkEnd w:id="22"/>
    <w:bookmarkStart w:id="23" w:name="Xa05666a985af645cbd9cd403f06d254370d287a"/>
    <w:p>
      <w:pPr>
        <w:pStyle w:val="Heading2"/>
      </w:pPr>
      <w:r>
        <w:t xml:space="preserve">Competitive Positioning Against Local Alternatives</w:t>
      </w:r>
    </w:p>
    <w:p>
      <w:pPr>
        <w:pStyle w:val="FirstParagraph"/>
      </w:pPr>
      <w:r>
        <w:t xml:space="preserve">In Germany Berlin, Mathematica faces competition from local platforms like SAP Analytics Cloud and open-source tools. However, our Sales Report identifies three decisive advantages:</w:t>
      </w:r>
    </w:p>
    <w:p>
      <w:pPr>
        <w:numPr>
          <w:ilvl w:val="0"/>
          <w:numId w:val="1002"/>
        </w:numPr>
        <w:pStyle w:val="Compact"/>
      </w:pPr>
      <w:r>
        <w:rPr>
          <w:bCs/>
          <w:b/>
        </w:rPr>
        <w:t xml:space="preserve">Mathematician-Centric Architecture:</w:t>
      </w:r>
      <w:r>
        <w:t xml:space="preserve"> </w:t>
      </w:r>
      <w:r>
        <w:t xml:space="preserve">Unlike SAP's enterprise focus, Mathematica was built by mathematicians for mathematicians—enabling seamless integration of advanced calculus, symbolic algebra, and differential equations critical to Berlin's research community.</w:t>
      </w:r>
    </w:p>
    <w:p>
      <w:pPr>
        <w:numPr>
          <w:ilvl w:val="0"/>
          <w:numId w:val="1002"/>
        </w:numPr>
        <w:pStyle w:val="Compact"/>
      </w:pPr>
      <w:r>
        <w:rPr>
          <w:bCs/>
          <w:b/>
        </w:rPr>
        <w:t xml:space="preserve">German Language Support:</w:t>
      </w:r>
      <w:r>
        <w:t xml:space="preserve"> </w:t>
      </w:r>
      <w:r>
        <w:t xml:space="preserve">We’ve deployed full localization (including German technical documentation), addressing a key barrier identified in 62% of non-purchase feedback from Berlin-based clients during 2022 surveys.</w:t>
      </w:r>
    </w:p>
    <w:p>
      <w:pPr>
        <w:numPr>
          <w:ilvl w:val="0"/>
          <w:numId w:val="1002"/>
        </w:numPr>
        <w:pStyle w:val="Compact"/>
      </w:pPr>
      <w:r>
        <w:rPr>
          <w:bCs/>
          <w:b/>
        </w:rPr>
        <w:t xml:space="preserve">Ecosystem Synergy:</w:t>
      </w:r>
      <w:r>
        <w:t xml:space="preserve"> </w:t>
      </w:r>
      <w:r>
        <w:t xml:space="preserve">Mathematica’s Jupyter Notebook integration with Berlin's popular Data Science Institute tools creates frictionless workflows, whereas competitors require costly middleware.</w:t>
      </w:r>
    </w:p>
    <w:bookmarkEnd w:id="23"/>
    <w:bookmarkStart w:id="24" w:name="X63ae07700a03bd778e6d764c1815ae67320c4fe"/>
    <w:p>
      <w:pPr>
        <w:pStyle w:val="Heading2"/>
      </w:pPr>
      <w:r>
        <w:t xml:space="preserve">Customer Success Spotlight: Siemens Mobility Berlin</w:t>
      </w:r>
    </w:p>
    <w:p>
      <w:pPr>
        <w:pStyle w:val="FirstParagraph"/>
      </w:pPr>
      <w:r>
        <w:t xml:space="preserve">A pivotal case study involves Siemens Mobility's Berlin office. Facing challenges in modeling high-speed rail vibration dynamics, their team of 18 mathematicians adopted Mathematica for real-time simulation. The Sales Report notes:</w:t>
      </w:r>
    </w:p>
    <w:p>
      <w:pPr>
        <w:numPr>
          <w:ilvl w:val="0"/>
          <w:numId w:val="1003"/>
        </w:numPr>
        <w:pStyle w:val="Compact"/>
      </w:pPr>
      <w:r>
        <w:t xml:space="preserve">53% reduction in prototype development time</w:t>
      </w:r>
    </w:p>
    <w:p>
      <w:pPr>
        <w:numPr>
          <w:ilvl w:val="0"/>
          <w:numId w:val="1003"/>
        </w:numPr>
        <w:pStyle w:val="Compact"/>
      </w:pPr>
      <w:r>
        <w:t xml:space="preserve">€640,000 annual cost savings from reduced physical testing</w:t>
      </w:r>
    </w:p>
    <w:p>
      <w:pPr>
        <w:numPr>
          <w:ilvl w:val="0"/>
          <w:numId w:val="1003"/>
        </w:numPr>
        <w:pStyle w:val="Compact"/>
      </w:pPr>
      <w:r>
        <w:t xml:space="preserve">Promotion of 3 junior mathematicians to lead roles due to enhanced computational proficiency</w:t>
      </w:r>
    </w:p>
    <w:bookmarkEnd w:id="24"/>
    <w:bookmarkStart w:id="25" w:name="challenges-in-the-germany-berlin-market"/>
    <w:p>
      <w:pPr>
        <w:pStyle w:val="Heading2"/>
      </w:pPr>
      <w:r>
        <w:t xml:space="preserve">Challenges in the Germany Berlin Market</w:t>
      </w:r>
    </w:p>
    <w:p>
      <w:pPr>
        <w:pStyle w:val="FirstParagraph"/>
      </w:pPr>
      <w:r>
        <w:t xml:space="preserve">While growth is robust, two challenges require strategic intervention:</w:t>
      </w:r>
    </w:p>
    <w:p>
      <w:pPr>
        <w:numPr>
          <w:ilvl w:val="0"/>
          <w:numId w:val="1004"/>
        </w:numPr>
        <w:pStyle w:val="Compact"/>
      </w:pPr>
      <w:r>
        <w:rPr>
          <w:bCs/>
          <w:b/>
        </w:rPr>
        <w:t xml:space="preserve">Cultural Adoption Hurdles:</w:t>
      </w:r>
      <w:r>
        <w:t xml:space="preserve"> </w:t>
      </w:r>
      <w:r>
        <w:t xml:space="preserve">German engineers often prioritize "proven" tools. We're addressing this through free workshops at Fraunhofer Institutes, demonstrating Mathematica's ROI in Berlin-specific contexts like renewable energy grid optimization.</w:t>
      </w:r>
    </w:p>
    <w:p>
      <w:pPr>
        <w:numPr>
          <w:ilvl w:val="0"/>
          <w:numId w:val="1004"/>
        </w:numPr>
        <w:pStyle w:val="Compact"/>
      </w:pPr>
      <w:r>
        <w:rPr>
          <w:bCs/>
          <w:b/>
        </w:rPr>
        <w:t xml:space="preserve">Compliance Requirements:</w:t>
      </w:r>
      <w:r>
        <w:t xml:space="preserve"> </w:t>
      </w:r>
      <w:r>
        <w:t xml:space="preserve">Germany's strict data sovereignty laws (GDPR) necessitated on-premise deployment options. Our recent partnership with Berlin-based cloud provider "DataCloud GmbH" resolves this, securing 17 new enterprise contracts in Q3.</w:t>
      </w:r>
    </w:p>
    <w:bookmarkEnd w:id="25"/>
    <w:bookmarkStart w:id="26" w:name="Xacf9d157bb4c113930c211a500a4794515b9f87"/>
    <w:p>
      <w:pPr>
        <w:pStyle w:val="Heading2"/>
      </w:pPr>
      <w:r>
        <w:t xml:space="preserve">Strategic Recommendations for Germany Berlin</w:t>
      </w:r>
    </w:p>
    <w:p>
      <w:pPr>
        <w:pStyle w:val="FirstParagraph"/>
      </w:pPr>
      <w:r>
        <w:t xml:space="preserve">Based on our comprehensive Sales Report analysis, we propose:</w:t>
      </w:r>
    </w:p>
    <w:p>
      <w:pPr>
        <w:numPr>
          <w:ilvl w:val="0"/>
          <w:numId w:val="1005"/>
        </w:numPr>
        <w:pStyle w:val="Compact"/>
      </w:pPr>
      <w:r>
        <w:rPr>
          <w:bCs/>
          <w:b/>
        </w:rPr>
        <w:t xml:space="preserve">Establish a Berlin Innovation Hub:</w:t>
      </w:r>
      <w:r>
        <w:t xml:space="preserve"> </w:t>
      </w:r>
      <w:r>
        <w:t xml:space="preserve">Open a dedicated office at the "Berlin-Brandenburg Research Campus" to host monthly Mathematician Roundtables with local academic leaders. This builds community trust beyond sales transactions.</w:t>
      </w:r>
    </w:p>
    <w:p>
      <w:pPr>
        <w:numPr>
          <w:ilvl w:val="0"/>
          <w:numId w:val="1005"/>
        </w:numPr>
        <w:pStyle w:val="Compact"/>
      </w:pPr>
      <w:r>
        <w:rPr>
          <w:bCs/>
          <w:b/>
        </w:rPr>
        <w:t xml:space="preserve">Pioneer AI/ML Certification Program:</w:t>
      </w:r>
      <w:r>
        <w:t xml:space="preserve"> </w:t>
      </w:r>
      <w:r>
        <w:t xml:space="preserve">Partner with Berlin universities to offer joint certifications in "Mathematica for Industry 4.0," directly targeting German engineers seeking career advancement.</w:t>
      </w:r>
    </w:p>
    <w:p>
      <w:pPr>
        <w:numPr>
          <w:ilvl w:val="0"/>
          <w:numId w:val="1005"/>
        </w:numPr>
        <w:pStyle w:val="Compact"/>
      </w:pPr>
      <w:r>
        <w:rPr>
          <w:bCs/>
          <w:b/>
        </w:rPr>
        <w:t xml:space="preserve">Localized Pricing Tiers:</w:t>
      </w:r>
      <w:r>
        <w:t xml:space="preserve"> </w:t>
      </w:r>
      <w:r>
        <w:t xml:space="preserve">Introduce a "Berlin Academic Package" (30% discount for institutions) and "Startup Accelerator Tier" (fixed €99/month for Berlin-registered startups), aligning with Germany’s innovation funding ecosystem.</w:t>
      </w:r>
    </w:p>
    <w:bookmarkEnd w:id="26"/>
    <w:bookmarkStart w:id="27" w:name="X1f9a1ea74b315e6179482a3dce8418ff09d32db"/>
    <w:p>
      <w:pPr>
        <w:pStyle w:val="Heading2"/>
      </w:pPr>
      <w:r>
        <w:t xml:space="preserve">Conclusion: The Mathematica Advantage in Berlin's Future</w:t>
      </w:r>
    </w:p>
    <w:p>
      <w:pPr>
        <w:pStyle w:val="FirstParagraph"/>
      </w:pPr>
      <w:r>
        <w:t xml:space="preserve">This Sales Report unequivocally demonstrates that Mathematica is not merely a software product—it is an indispensable enabler of mathematical innovation within Germany Berlin. As the city positions itself as Europe's AI capital (per the 2023 German Federal Ministry for Education and Research report), demand for advanced computational tools like Mathematica will escalate exponentially. Our strategy to embed Mathematica into Berlin’s academic-industrial DNA—through language localization, ecosystem partnerships, and community building—positions us for leadership in Germany's $4.7B mathematical software market.</w:t>
      </w:r>
    </w:p>
    <w:p>
      <w:pPr>
        <w:pStyle w:val="BodyText"/>
      </w:pPr>
      <w:r>
        <w:t xml:space="preserve">By centering our approach on the needs of mathematicians operating within Berlin's unique technological environment, we are transforming Mathematica from a tool into an engine of regional economic growth. The data is clear: For Berlin-based innovators, Mathematica isn't optional—it's essential.</w:t>
      </w:r>
    </w:p>
    <w:p>
      <w:pPr>
        <w:pStyle w:val="BodyText"/>
      </w:pPr>
      <w:r>
        <w:rPr>
          <w:bCs/>
          <w:b/>
        </w:rPr>
        <w:t xml:space="preserve">Prepared By:</w:t>
      </w:r>
      <w:r>
        <w:t xml:space="preserve"> </w:t>
      </w:r>
      <w:r>
        <w:t xml:space="preserve">Global Sales Strategy Team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Sales Report: Germany Berlin Market Analysis</dc:title>
  <dc:creator/>
  <dc:language>en</dc:language>
  <cp:keywords/>
  <dcterms:created xsi:type="dcterms:W3CDTF">2025-12-11T10:47:12Z</dcterms:created>
  <dcterms:modified xsi:type="dcterms:W3CDTF">2025-12-11T10:47:12Z</dcterms:modified>
</cp:coreProperties>
</file>

<file path=docProps/custom.xml><?xml version="1.0" encoding="utf-8"?>
<Properties xmlns="http://schemas.openxmlformats.org/officeDocument/2006/custom-properties" xmlns:vt="http://schemas.openxmlformats.org/officeDocument/2006/docPropsVTypes"/>
</file>