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b37c40f929e5db0a1f352fd6694e055339c75c2"/>
    <w:p>
      <w:pPr>
        <w:pStyle w:val="Heading1"/>
      </w:pPr>
      <w:r>
        <w:t xml:space="preserve">Q3 2023 Sales Report: Strategic Growth of Mathematical Solutions in Germany Frankfurt Market</w:t>
      </w:r>
    </w:p>
    <w:p>
      <w:pPr>
        <w:pStyle w:val="FirstParagraph"/>
      </w:pPr>
      <w:r>
        <w:rPr>
          <w:bCs/>
          <w:b/>
        </w:rPr>
        <w:t xml:space="preserve">Date:</w:t>
      </w:r>
      <w:r>
        <w:t xml:space="preserve"> </w:t>
      </w:r>
      <w:r>
        <w:t xml:space="preserve">October 15, 2023</w:t>
      </w:r>
      <w:r>
        <w:br/>
      </w:r>
      <w:r>
        <w:rPr>
          <w:bCs/>
          <w:b/>
        </w:rPr>
        <w:t xml:space="preserve">To:</w:t>
      </w:r>
      <w:r>
        <w:t xml:space="preserve"> </w:t>
      </w:r>
      <w:r>
        <w:t xml:space="preserve">Executive Leadership, Frankfurt Regional Office</w:t>
      </w:r>
      <w:r>
        <w:br/>
      </w:r>
      <w:r>
        <w:rPr>
          <w:bCs/>
          <w:b/>
        </w:rPr>
        <w:t xml:space="preserve">From:</w:t>
      </w:r>
      <w:r>
        <w:t xml:space="preserve"> </w:t>
      </w:r>
      <w:r>
        <w:t xml:space="preserve">Global Sales Analytics Division</w:t>
      </w:r>
    </w:p>
    <w:bookmarkStart w:id="20" w:name="Xb8081e2625c1b5fab321067151156c67e42046c"/>
    <w:p>
      <w:pPr>
        <w:pStyle w:val="Heading2"/>
      </w:pPr>
      <w:r>
        <w:t xml:space="preserve">Preamble: The Frankfurt Mathematical Imperative</w:t>
      </w:r>
    </w:p>
    <w:p>
      <w:pPr>
        <w:pStyle w:val="FirstParagraph"/>
      </w:pPr>
      <w:r>
        <w:t xml:space="preserve">This comprehensive Sales Report details the extraordinary performance of our mathematical innovation portfolio within Germany's premier financial hub—Frankfurt. As the world's leading center for European banking and fintech, Frankfurt represents a strategic imperative where mathematical precision directly translates to market dominance. This report underscores how our mathematician-led solutions have become indispensable to Deutsche Börse, DZ Bank, and Frankfurt-based AI startups navigating complex data landscapes. The integration of advanced mathematics into commercial strategy has proven pivotal in securing 37% year-over-year growth within this critical market segment.</w:t>
      </w:r>
    </w:p>
    <w:bookmarkEnd w:id="20"/>
    <w:bookmarkStart w:id="21" w:name="X18c2bd01c8adea4b062744b1ea6c588473930e1"/>
    <w:p>
      <w:pPr>
        <w:pStyle w:val="Heading2"/>
      </w:pPr>
      <w:r>
        <w:t xml:space="preserve">Q3 Sales Performance: Frankfurt's Mathematical Momentum</w:t>
      </w:r>
    </w:p>
    <w:p>
      <w:pPr>
        <w:pStyle w:val="FirstParagraph"/>
      </w:pPr>
      <w:r>
        <w:t xml:space="preserve">Frankfurt's Q3 results represent a landmark achievement for our global sales strategy. Total revenue from mathematical solution deployments surged to €14.8 million, exceeding projections by 22%. This growth stems from three core segments where our mathematician expertise delivers unmatched value:</w:t>
      </w:r>
    </w:p>
    <w:p>
      <w:pPr>
        <w:numPr>
          <w:ilvl w:val="0"/>
          <w:numId w:val="1001"/>
        </w:numPr>
        <w:pStyle w:val="Compact"/>
      </w:pPr>
      <w:r>
        <w:rPr>
          <w:bCs/>
          <w:b/>
        </w:rPr>
        <w:t xml:space="preserve">Algorithmic Trading Systems:</w:t>
      </w:r>
      <w:r>
        <w:t xml:space="preserve"> </w:t>
      </w:r>
      <w:r>
        <w:t xml:space="preserve">53% market penetration with major Frankfurt institutions; generated €6.1M revenue through customized risk modeling solutions</w:t>
      </w:r>
    </w:p>
    <w:p>
      <w:pPr>
        <w:numPr>
          <w:ilvl w:val="0"/>
          <w:numId w:val="1001"/>
        </w:numPr>
        <w:pStyle w:val="Compact"/>
      </w:pPr>
      <w:r>
        <w:rPr>
          <w:bCs/>
          <w:b/>
        </w:rPr>
        <w:t xml:space="preserve">Fraud Detection AI Platforms:</w:t>
      </w:r>
      <w:r>
        <w:t xml:space="preserve"> </w:t>
      </w:r>
      <w:r>
        <w:t xml:space="preserve">89% client retention rate among Deutsche Bank partners; contributed €4.7M in recurring SaaS contracts</w:t>
      </w:r>
    </w:p>
    <w:p>
      <w:pPr>
        <w:numPr>
          <w:ilvl w:val="0"/>
          <w:numId w:val="1001"/>
        </w:numPr>
        <w:pStyle w:val="Compact"/>
      </w:pPr>
      <w:r>
        <w:rPr>
          <w:bCs/>
          <w:b/>
        </w:rPr>
        <w:t xml:space="preserve">Quantitative Analytics Suites:</w:t>
      </w:r>
      <w:r>
        <w:t xml:space="preserve"> </w:t>
      </w:r>
      <w:r>
        <w:t xml:space="preserve">15 new enterprise clients including DSW (Deutsche Sparkassenverband), driving €4.0M in Q3 sales</w:t>
      </w:r>
    </w:p>
    <w:p>
      <w:pPr>
        <w:pStyle w:val="FirstParagraph"/>
      </w:pPr>
      <w:r>
        <w:t xml:space="preserve">Notably, every major Frankfurt financial institution now leverages our mathematician-designed predictive models, with 78% of new contracts originating from referrals within Germany's finance ecosystem. The competitive advantage lies not just in the mathematics itself, but in how our team of mathematicians co-creates solutions with clients—transforming abstract algorithms into tangible business outcomes. This client-centric mathematical approach has become the cornerstone of our Frankfurt success story.</w:t>
      </w:r>
    </w:p>
    <w:bookmarkEnd w:id="21"/>
    <w:bookmarkStart w:id="22" w:name="Xa2d8cfea7dc6ef128a6e5108ea44180a5bd3cc6"/>
    <w:p>
      <w:pPr>
        <w:pStyle w:val="Heading2"/>
      </w:pPr>
      <w:r>
        <w:t xml:space="preserve">Germany Frankfurt: Where Mathematics Meets Market Reality</w:t>
      </w:r>
    </w:p>
    <w:p>
      <w:pPr>
        <w:pStyle w:val="FirstParagraph"/>
      </w:pPr>
      <w:r>
        <w:t xml:space="preserve">Frankfurt's unique position as Germany's financial capital creates an ideal testing ground for mathematical innovation. With 45% of Europe's top asset management firms headquartered here and the European Central Bank maintaining its operational base, the demand for mathematically rigorous solutions has never been higher. Our Sales Report consistently identifies Frankfurt as our single most valuable market—accounting for 28% of all Europe-wide mathematical solution revenue despite representing only 17% of our global footprint.</w:t>
      </w:r>
    </w:p>
    <w:p>
      <w:pPr>
        <w:pStyle w:val="BodyText"/>
      </w:pPr>
      <w:r>
        <w:t xml:space="preserve">The significance extends beyond finance. We've observed a paradigm shift in how German enterprises value mathematical expertise: The once-technical mathematician role has evolved into a strategic business partner. For instance, our Frankfurt-based mathematician team conducted 230+ client workshops this quarter, translating complex Monte Carlo simulations into boardroom-ready growth strategies for Siemens Financial Services and KfW Bankengruppe. This human-mathematical synergy is now the primary differentiator in our sales process.</w:t>
      </w:r>
    </w:p>
    <w:bookmarkEnd w:id="22"/>
    <w:bookmarkStart w:id="23" w:name="X4972e2b8ffab0b52356e726c062c0adcbbb8e56"/>
    <w:p>
      <w:pPr>
        <w:pStyle w:val="Heading2"/>
      </w:pPr>
      <w:r>
        <w:t xml:space="preserve">Strategic Insights from the Frankfurt Market</w:t>
      </w:r>
    </w:p>
    <w:p>
      <w:pPr>
        <w:pStyle w:val="FirstParagraph"/>
      </w:pPr>
      <w:r>
        <w:t xml:space="preserve">This Sales Report reveals critical insights about mathematics as a commercial catalyst in Germany:</w:t>
      </w:r>
    </w:p>
    <w:p>
      <w:pPr>
        <w:numPr>
          <w:ilvl w:val="0"/>
          <w:numId w:val="1002"/>
        </w:numPr>
        <w:pStyle w:val="Compact"/>
      </w:pPr>
      <w:r>
        <w:rPr>
          <w:bCs/>
          <w:b/>
        </w:rPr>
        <w:t xml:space="preserve">Cultural Alignment:</w:t>
      </w:r>
      <w:r>
        <w:t xml:space="preserve"> </w:t>
      </w:r>
      <w:r>
        <w:t xml:space="preserve">German enterprises prioritize mathematical precision over rapid deployment—a trait our mathematician-led development teams embody perfectly. Frankfurt clients specifically value our 12-month solution validation process, which aligns with German engineering standards.</w:t>
      </w:r>
    </w:p>
    <w:p>
      <w:pPr>
        <w:numPr>
          <w:ilvl w:val="0"/>
          <w:numId w:val="1002"/>
        </w:numPr>
        <w:pStyle w:val="Compact"/>
      </w:pPr>
      <w:r>
        <w:rPr>
          <w:bCs/>
          <w:b/>
        </w:rPr>
        <w:t xml:space="preserve">Regulatory Advantage:</w:t>
      </w:r>
      <w:r>
        <w:t xml:space="preserve"> </w:t>
      </w:r>
      <w:r>
        <w:t xml:space="preserve">Our mathematically audited compliance modules (developed by Frankfurt-based mathematicians) directly address GDPR and MiFID II requirements, accelerating sales cycles by 38% in regulated sectors.</w:t>
      </w:r>
    </w:p>
    <w:p>
      <w:pPr>
        <w:numPr>
          <w:ilvl w:val="0"/>
          <w:numId w:val="1002"/>
        </w:numPr>
        <w:pStyle w:val="Compact"/>
      </w:pPr>
      <w:r>
        <w:rPr>
          <w:bCs/>
          <w:b/>
        </w:rPr>
        <w:t xml:space="preserve">Talent Synergy:</w:t>
      </w:r>
      <w:r>
        <w:t xml:space="preserve"> </w:t>
      </w:r>
      <w:r>
        <w:t xml:space="preserve">The presence of Goethe University's Institute for Mathematical Finance has created a pipeline of mathematically trained German professionals who now serve as our strongest local advocates, accounting for 63% of new Frankfurt client referrals.</w:t>
      </w:r>
    </w:p>
    <w:bookmarkEnd w:id="23"/>
    <w:bookmarkStart w:id="24" w:name="challenges-strategic-imperatives"/>
    <w:p>
      <w:pPr>
        <w:pStyle w:val="Heading2"/>
      </w:pPr>
      <w:r>
        <w:t xml:space="preserve">Challenges &amp; Strategic Imperatives</w:t>
      </w:r>
    </w:p>
    <w:p>
      <w:pPr>
        <w:pStyle w:val="FirstParagraph"/>
      </w:pPr>
      <w:r>
        <w:t xml:space="preserve">While results are exceptional, this Sales Report identifies three critical areas requiring immediate attention to sustain growth:</w:t>
      </w:r>
    </w:p>
    <w:p>
      <w:pPr>
        <w:numPr>
          <w:ilvl w:val="0"/>
          <w:numId w:val="1003"/>
        </w:numPr>
        <w:pStyle w:val="Compact"/>
      </w:pPr>
      <w:r>
        <w:rPr>
          <w:bCs/>
          <w:b/>
        </w:rPr>
        <w:t xml:space="preserve">Talent Density Gap:</w:t>
      </w:r>
      <w:r>
        <w:t xml:space="preserve"> </w:t>
      </w:r>
      <w:r>
        <w:t xml:space="preserve">Despite Frankfurt's mathematical talent pool, 41% of client requests require specialized skills in stochastic calculus—requiring accelerated recruitment of German-qualified mathematicians.</w:t>
      </w:r>
    </w:p>
    <w:p>
      <w:pPr>
        <w:numPr>
          <w:ilvl w:val="0"/>
          <w:numId w:val="1003"/>
        </w:numPr>
        <w:pStyle w:val="Compact"/>
      </w:pPr>
      <w:r>
        <w:rPr>
          <w:bCs/>
          <w:b/>
        </w:rPr>
        <w:t xml:space="preserve">Localization Nuances:</w:t>
      </w:r>
      <w:r>
        <w:t xml:space="preserve"> </w:t>
      </w:r>
      <w:r>
        <w:t xml:space="preserve">Some traditional German firms initially resist "mathematical" solutions due to perceived complexity; our Sales Report recommends embedding local mathematician consultants into sales teams to bridge this gap.</w:t>
      </w:r>
    </w:p>
    <w:p>
      <w:pPr>
        <w:numPr>
          <w:ilvl w:val="0"/>
          <w:numId w:val="1003"/>
        </w:numPr>
        <w:pStyle w:val="Compact"/>
      </w:pPr>
      <w:r>
        <w:rPr>
          <w:bCs/>
          <w:b/>
        </w:rPr>
        <w:t xml:space="preserve">Competitive Pressure:</w:t>
      </w:r>
      <w:r>
        <w:t xml:space="preserve"> </w:t>
      </w:r>
      <w:r>
        <w:t xml:space="preserve">Local competitors now offer basic analytics, but Frankfurt's sophisticated market demands mathematically proven models—our Sales Report confirms 76% of lost deals resulted from insufficient mathematical depth in proposals.</w:t>
      </w:r>
    </w:p>
    <w:bookmarkEnd w:id="24"/>
    <w:bookmarkStart w:id="25" w:name="X9439b169b959ed30092d87d84e2bf25198c6f20"/>
    <w:p>
      <w:pPr>
        <w:pStyle w:val="Heading2"/>
      </w:pPr>
      <w:r>
        <w:t xml:space="preserve">Forward-Looking Strategy: The Mathematician Advantage</w:t>
      </w:r>
    </w:p>
    <w:p>
      <w:pPr>
        <w:pStyle w:val="FirstParagraph"/>
      </w:pPr>
      <w:r>
        <w:t xml:space="preserve">Based on Q3 performance, we propose an aggressive Frankfurt-focused strategy that leverages our mathematician expertise as the primary sales driver:</w:t>
      </w:r>
    </w:p>
    <w:p>
      <w:pPr>
        <w:numPr>
          <w:ilvl w:val="0"/>
          <w:numId w:val="1004"/>
        </w:numPr>
        <w:pStyle w:val="Compact"/>
      </w:pPr>
      <w:r>
        <w:rPr>
          <w:bCs/>
          <w:b/>
        </w:rPr>
        <w:t xml:space="preserve">Mathematician Accelerator Program:</w:t>
      </w:r>
      <w:r>
        <w:t xml:space="preserve"> </w:t>
      </w:r>
      <w:r>
        <w:t xml:space="preserve">Co-locate 15 additional German-qualified mathematicians in Frankfurt by Q1 2024 to support sales teams and client workshops.</w:t>
      </w:r>
    </w:p>
    <w:p>
      <w:pPr>
        <w:numPr>
          <w:ilvl w:val="0"/>
          <w:numId w:val="1004"/>
        </w:numPr>
        <w:pStyle w:val="Compact"/>
      </w:pPr>
      <w:r>
        <w:rPr>
          <w:bCs/>
          <w:b/>
        </w:rPr>
        <w:t xml:space="preserve">Frankfurt Mathematical Council:</w:t>
      </w:r>
      <w:r>
        <w:t xml:space="preserve"> </w:t>
      </w:r>
      <w:r>
        <w:t xml:space="preserve">Establish a permanent advisory board with Deutsche Börse and DZ Bank mathematicians to co-develop next-gen solutions (launching November 2023).</w:t>
      </w:r>
    </w:p>
    <w:bookmarkEnd w:id="25"/>
    <w:bookmarkStart w:id="27" w:name="X6a5cf965d68887e194dc15a56d643f53537a6ec"/>
    <w:p>
      <w:pPr>
        <w:pStyle w:val="Heading2"/>
      </w:pPr>
      <w:r>
        <w:t xml:space="preserve">Conclusion: Mathematics as the Engine of Frankfurt's Growth</w:t>
      </w:r>
    </w:p>
    <w:p>
      <w:pPr>
        <w:pStyle w:val="FirstParagraph"/>
      </w:pPr>
      <w:r>
        <w:t xml:space="preserve">This Sales Report affirms that in Germany Frankfurt, mathematical innovation isn't just a product—it's the very engine driving enterprise transformation. Our mathematician-led solutions have become non-negotiable for institutions navigating volatility, regulation, and digital disruption. The Q3 results prove that when sales strategy integrates deep mathematical expertise with German market sensibilities (as demonstrated by our 42% revenue growth from repeat customers), sustainable dominance is achievable.</w:t>
      </w:r>
    </w:p>
    <w:p>
      <w:pPr>
        <w:pStyle w:val="BodyText"/>
      </w:pPr>
      <w:r>
        <w:t xml:space="preserve">Looking ahead, we project Frankfurt to account for 35% of our global mathematical solution revenue by Q2 2024. This trajectory hinges on one principle: the mathematician must remain central to every sales conversation. As our German clients increasingly state, "We don't buy software—we buy mathematical certainty." This Sales Report closes with a resounding confirmation: In Germany Frankfurt, mathematics is the ultimate sales differentiator.</w:t>
      </w:r>
    </w:p>
    <w:p>
      <w:pPr>
        <w:pStyle w:val="BodyText"/>
      </w:pPr>
      <w:r>
        <w:rPr>
          <w:bCs/>
          <w:b/>
        </w:rPr>
        <w:t xml:space="preserve">Prepared by:</w:t>
      </w:r>
      <w:r>
        <w:t xml:space="preserve"> </w:t>
      </w:r>
      <w:r>
        <w:t xml:space="preserve">Global Sales Analytics Team</w:t>
      </w:r>
      <w:r>
        <w:br/>
      </w:r>
      <w:r>
        <w:rPr>
          <w:bCs/>
          <w:b/>
        </w:rPr>
        <w:t xml:space="preserve">Key Mathematician Contributors:</w:t>
      </w:r>
      <w:r>
        <w:t xml:space="preserve"> </w:t>
      </w:r>
      <w:r>
        <w:t xml:space="preserve">Dr. Anja Weber (Frankfurt Lead), Prof. Klaus Schmidt (Quantitative Strategy), Dipl.-Math. Lena Fischer (Client Solutions)</w:t>
      </w:r>
    </w:p>
    <w:bookmarkStart w:id="26" w:name="X336e2aa92821c6ea60d01ead200f03ca39fa7b3"/>
    <w:p>
      <w:pPr>
        <w:pStyle w:val="Heading3"/>
      </w:pPr>
      <w:r>
        <w:t xml:space="preserve">Acknowledgement of Germany Frankfurt's Mathematical Legacy</w:t>
      </w:r>
    </w:p>
    <w:p>
      <w:pPr>
        <w:pStyle w:val="FirstParagraph"/>
      </w:pPr>
      <w:r>
        <w:t xml:space="preserve">We recognize that Frankfurt's position as a financial nexus is built upon centuries of mathematical tradition—from Johann Heinrich Lambert's foundational work to today's algorithmic trading revolution. This Sales Report honors that legacy by proving that in the heart of Germany, mathematical excellence directly fuels commercial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Mathematical Innovation in Germany Frankfurt</dc:title>
  <dc:creator/>
  <dc:language>en</dc:language>
  <cp:keywords/>
  <dcterms:created xsi:type="dcterms:W3CDTF">2026-07-21T16:02:31Z</dcterms:created>
  <dcterms:modified xsi:type="dcterms:W3CDTF">2026-07-21T16:02:31Z</dcterms:modified>
</cp:coreProperties>
</file>

<file path=docProps/custom.xml><?xml version="1.0" encoding="utf-8"?>
<Properties xmlns="http://schemas.openxmlformats.org/officeDocument/2006/custom-properties" xmlns:vt="http://schemas.openxmlformats.org/officeDocument/2006/docPropsVTypes"/>
</file>