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Munich</w:t>
      </w:r>
      <w:r>
        <w:t xml:space="preserve"> </w:t>
      </w:r>
      <w:r>
        <w:t xml:space="preserve">Market</w:t>
      </w:r>
    </w:p>
    <w:bookmarkStart w:id="30" w:name="X4b31c92a81ce48891caf38e2cae091fbf6dd00b"/>
    <w:p>
      <w:pPr>
        <w:pStyle w:val="Heading1"/>
      </w:pPr>
      <w:r>
        <w:t xml:space="preserve">Comprehensive Sales Performance Report: Mathematician Product Suite in Munich, Germany</w:t>
      </w:r>
    </w:p>
    <w:bookmarkStart w:id="20" w:name="executive-summary"/>
    <w:p>
      <w:pPr>
        <w:pStyle w:val="Heading2"/>
      </w:pPr>
      <w:r>
        <w:t xml:space="preserve">Executive Summary</w:t>
      </w:r>
    </w:p>
    <w:p>
      <w:pPr>
        <w:pStyle w:val="FirstParagraph"/>
      </w:pPr>
      <w:r>
        <w:t xml:space="preserve">This report details the sales performance of our flagship product suite, "Mathematician," across Munich's education, research, and enterprise sectors during Q1-Q3 2023. The Mathematician platform – an AI-powered mathematical problem-solving and educational tool – has achieved remarkable traction in Munich's highly specialized academic ecosystem. With a 147% year-over-year growth in licensed users and €856,000 in revenue generated from Munich-based clients, this represents the strongest regional performance of any European market. The success underscores Munich's status as Germany's premier hub for mathematical innovation and our strategic alignment with the city's academic-industrial ecosystem.</w:t>
      </w:r>
    </w:p>
    <w:bookmarkEnd w:id="20"/>
    <w:bookmarkStart w:id="21" w:name="X27b1863c6c1e55767a784f2442ad99c8b1dc7de"/>
    <w:p>
      <w:pPr>
        <w:pStyle w:val="Heading2"/>
      </w:pPr>
      <w:r>
        <w:t xml:space="preserve">Market Context: Why Munich? Why Mathematician?</w:t>
      </w:r>
    </w:p>
    <w:p>
      <w:pPr>
        <w:pStyle w:val="FirstParagraph"/>
      </w:pPr>
      <w:r>
        <w:t xml:space="preserve">Munich stands as Germany's undisputed capital of mathematical excellence, housing 37% of the country's top-tier mathematics research institutions including the Technical University of Munich (TUM), Ludwig Maximilian University (LMU), and the renowned Max Planck Institute for Mathematics. This concentration creates a unique opportunity for specialized solutions like Mathematician – a cloud-based platform that combines computational algebra, visual analytics, and adaptive learning modules. Our positioning directly addresses Munich's acute need for tools that bridge theoretical mathematics with practical industry applications, particularly in automotive engineering (Bayerische Motoren Werke), aerospace (Airbus Germany), and financial technology sectors.</w:t>
      </w:r>
    </w:p>
    <w:bookmarkEnd w:id="21"/>
    <w:bookmarkStart w:id="24" w:name="X12b19dbb74c35b164dbfbfb8c504fdc5bdd9af3"/>
    <w:p>
      <w:pPr>
        <w:pStyle w:val="Heading2"/>
      </w:pPr>
      <w:r>
        <w:t xml:space="preserve">Key Sales Metrics: Munich Performance Highlights</w:t>
      </w:r>
    </w:p>
    <w:bookmarkStart w:id="22" w:name="revenue-growth-by-segment"/>
    <w:p>
      <w:pPr>
        <w:pStyle w:val="Heading3"/>
      </w:pPr>
      <w:r>
        <w:t xml:space="preserve">Revenue Growth by Segment</w:t>
      </w:r>
    </w:p>
    <w:p>
      <w:pPr>
        <w:pStyle w:val="FirstParagraph"/>
      </w:pPr>
      <w:r>
        <w:t xml:space="preserve">Segment</w:t>
      </w:r>
    </w:p>
    <w:p>
      <w:pPr>
        <w:pStyle w:val="BodyText"/>
      </w:pPr>
      <w:r>
        <w:t xml:space="preserve">Q1 2023 Revenue (€)</w:t>
      </w:r>
    </w:p>
    <w:p>
      <w:pPr>
        <w:pStyle w:val="BodyText"/>
      </w:pPr>
      <w:r>
        <w:t xml:space="preserve">Q2 2023 Revenue (€)</w:t>
      </w:r>
    </w:p>
    <w:p>
      <w:pPr>
        <w:pStyle w:val="BodyText"/>
      </w:pPr>
      <w:r>
        <w:t xml:space="preserve">Q3 2023 Revenue (€)</w:t>
      </w:r>
    </w:p>
    <w:p>
      <w:pPr>
        <w:pStyle w:val="BodyText"/>
      </w:pPr>
      <w:r>
        <w:t xml:space="preserve">Academic Institutions</w:t>
      </w:r>
    </w:p>
    <w:p>
      <w:pPr>
        <w:pStyle w:val="BodyText"/>
      </w:pPr>
      <w:r>
        <w:t xml:space="preserve">187,500</w:t>
      </w:r>
    </w:p>
    <w:p>
      <w:pPr>
        <w:pStyle w:val="BodyText"/>
      </w:pPr>
      <w:r>
        <w:t xml:space="preserve">246,300</w:t>
      </w:r>
    </w:p>
    <w:p>
      <w:pPr>
        <w:pStyle w:val="BodyText"/>
      </w:pPr>
      <w:r>
        <w:t xml:space="preserve">298,100</w:t>
      </w:r>
    </w:p>
    <w:p>
      <w:pPr>
        <w:pStyle w:val="BodyText"/>
      </w:pPr>
      <w:r>
        <w:t xml:space="preserve">Industrial R&amp;D Departments</w:t>
      </w:r>
    </w:p>
    <w:p>
      <w:pPr>
        <w:pStyle w:val="BodyText"/>
      </w:pPr>
      <w:r>
        <w:t xml:space="preserve">92,450</w:t>
      </w:r>
    </w:p>
    <w:p>
      <w:pPr>
        <w:pStyle w:val="BodyText"/>
      </w:pPr>
      <w:r>
        <w:t xml:space="preserve">Government Research Agencies</w:t>
      </w:r>
    </w:p>
    <w:p>
      <w:pPr>
        <w:pStyle w:val="BodyText"/>
      </w:pPr>
      <w:r>
        <w:t xml:space="preserve">68,200</w:t>
      </w:r>
    </w:p>
    <w:p>
      <w:pPr>
        <w:pStyle w:val="BodyText"/>
      </w:pPr>
      <w:r>
        <w:t xml:space="preserve">89,150</w:t>
      </w:r>
    </w:p>
    <w:p>
      <w:pPr>
        <w:pStyle w:val="BodyText"/>
      </w:pPr>
      <w:r>
        <w:t xml:space="preserve">124,320</w:t>
      </w:r>
    </w:p>
    <w:p>
      <w:pPr>
        <w:pStyle w:val="BodyText"/>
      </w:pPr>
      <w:r>
        <w:t xml:space="preserve">Total Munich Revenue (Q1-Q3)</w:t>
      </w:r>
    </w:p>
    <w:p>
      <w:pPr>
        <w:pStyle w:val="BodyText"/>
      </w:pPr>
      <w:r>
        <w:t xml:space="preserve">€856,075</w:t>
      </w:r>
    </w:p>
    <w:bookmarkEnd w:id="22"/>
    <w:bookmarkStart w:id="23" w:name="market-penetration-achievements"/>
    <w:p>
      <w:pPr>
        <w:pStyle w:val="Heading3"/>
      </w:pPr>
      <w:r>
        <w:t xml:space="preserve">Market Penetration Achievements</w:t>
      </w:r>
    </w:p>
    <w:p>
      <w:pPr>
        <w:numPr>
          <w:ilvl w:val="0"/>
          <w:numId w:val="1001"/>
        </w:numPr>
        <w:pStyle w:val="Compact"/>
      </w:pPr>
      <w:r>
        <w:t xml:space="preserve">Secured contracts with 28 of Munich's top 30 mathematics departments (including TUM's Department of Mathematics and LMU's Institute for Algebra)</w:t>
      </w:r>
    </w:p>
    <w:p>
      <w:pPr>
        <w:numPr>
          <w:ilvl w:val="0"/>
          <w:numId w:val="1001"/>
        </w:numPr>
        <w:pStyle w:val="Compact"/>
      </w:pPr>
      <w:r>
        <w:t xml:space="preserve">Obtained framework agreement with the Bavarian State Ministry of Education for statewide deployment in 129 universities</w:t>
      </w:r>
    </w:p>
    <w:p>
      <w:pPr>
        <w:numPr>
          <w:ilvl w:val="0"/>
          <w:numId w:val="1001"/>
        </w:numPr>
        <w:pStyle w:val="Compact"/>
      </w:pPr>
      <w:r>
        <w:t xml:space="preserve">Notable enterprise adoption: BMW Group Engineering Division (€315,000 contract) using Mathematician for computational fluid dynamics optimization</w:t>
      </w:r>
    </w:p>
    <w:p>
      <w:pPr>
        <w:numPr>
          <w:ilvl w:val="0"/>
          <w:numId w:val="1001"/>
        </w:numPr>
        <w:pStyle w:val="Compact"/>
      </w:pPr>
      <w:r>
        <w:t xml:space="preserve">First-to-market solution integrated into the new Munich AI Innovation Hub at TUM Campus Garching</w:t>
      </w:r>
    </w:p>
    <w:bookmarkEnd w:id="23"/>
    <w:bookmarkEnd w:id="24"/>
    <w:bookmarkStart w:id="25" w:name="Xb781380935b6214ece7a4928115a547f5392c9c"/>
    <w:p>
      <w:pPr>
        <w:pStyle w:val="Heading2"/>
      </w:pPr>
      <w:r>
        <w:t xml:space="preserve">Strategic Client Acquisition: The Munich Advantage</w:t>
      </w:r>
    </w:p>
    <w:p>
      <w:pPr>
        <w:pStyle w:val="FirstParagraph"/>
      </w:pPr>
      <w:r>
        <w:t xml:space="preserve">Munich's unique ecosystem enabled our sales team to leverage three critical advantages:</w:t>
      </w:r>
    </w:p>
    <w:p>
      <w:pPr>
        <w:numPr>
          <w:ilvl w:val="0"/>
          <w:numId w:val="1002"/>
        </w:numPr>
        <w:pStyle w:val="Compact"/>
      </w:pPr>
      <w:r>
        <w:rPr>
          <w:bCs/>
          <w:b/>
        </w:rPr>
        <w:t xml:space="preserve">Cultural Alignment:</w:t>
      </w:r>
      <w:r>
        <w:t xml:space="preserve"> </w:t>
      </w:r>
      <w:r>
        <w:t xml:space="preserve">Our product was co-designed with Munich mathematicians at the Max Planck Institute. Features like "Bavarian Mathematical Notation Support" (handling local academic conventions) and German-language technical documentation created instant credibility.</w:t>
      </w:r>
    </w:p>
    <w:p>
      <w:pPr>
        <w:numPr>
          <w:ilvl w:val="0"/>
          <w:numId w:val="1002"/>
        </w:numPr>
        <w:pStyle w:val="Compact"/>
      </w:pPr>
      <w:r>
        <w:rPr>
          <w:bCs/>
          <w:b/>
        </w:rPr>
        <w:t xml:space="preserve">Network Effects:</w:t>
      </w:r>
      <w:r>
        <w:t xml:space="preserve"> </w:t>
      </w:r>
      <w:r>
        <w:t xml:space="preserve">Partnering with the Munich Mathematics Society for exclusive workshops resulted in 73% of sales coming through referral networks within academic circles – significantly higher than our Berlin or Frankfurt markets.</w:t>
      </w:r>
    </w:p>
    <w:p>
      <w:pPr>
        <w:numPr>
          <w:ilvl w:val="0"/>
          <w:numId w:val="1002"/>
        </w:numPr>
        <w:pStyle w:val="Compact"/>
      </w:pPr>
      <w:r>
        <w:rPr>
          <w:bCs/>
          <w:b/>
        </w:rPr>
        <w:t xml:space="preserve">Timing Strategy:</w:t>
      </w:r>
      <w:r>
        <w:t xml:space="preserve"> </w:t>
      </w:r>
      <w:r>
        <w:t xml:space="preserve">Launched during Munich's annual "Mathematics Week" (September 2022) with a keynote by Prof. Dr. Eva Müller (TUM Chair of Algebra), generating 47 qualified leads in one week.</w:t>
      </w:r>
    </w:p>
    <w:bookmarkEnd w:id="25"/>
    <w:bookmarkStart w:id="26" w:name="overcoming-local-market-challenges"/>
    <w:p>
      <w:pPr>
        <w:pStyle w:val="Heading2"/>
      </w:pPr>
      <w:r>
        <w:t xml:space="preserve">Overcoming Local Market Challenges</w:t>
      </w:r>
    </w:p>
    <w:p>
      <w:pPr>
        <w:pStyle w:val="FirstParagraph"/>
      </w:pPr>
      <w:r>
        <w:t xml:space="preserve">Our Munich sales journey faced distinct German market hurdles:</w:t>
      </w:r>
    </w:p>
    <w:p>
      <w:pPr>
        <w:numPr>
          <w:ilvl w:val="0"/>
          <w:numId w:val="1003"/>
        </w:numPr>
        <w:pStyle w:val="Compact"/>
      </w:pPr>
      <w:r>
        <w:rPr>
          <w:bCs/>
          <w:b/>
        </w:rPr>
        <w:t xml:space="preserve">Data Sovereignty Concerns:</w:t>
      </w:r>
      <w:r>
        <w:t xml:space="preserve"> </w:t>
      </w:r>
      <w:r>
        <w:t xml:space="preserve">Addressed by establishing a dedicated EU data center in Munich (not in Frankfurt) with 100% GDPR-compliant architecture, approved by the Bavarian Data Protection Authority.</w:t>
      </w:r>
    </w:p>
    <w:p>
      <w:pPr>
        <w:numPr>
          <w:ilvl w:val="0"/>
          <w:numId w:val="1003"/>
        </w:numPr>
        <w:pStyle w:val="Compact"/>
      </w:pPr>
      <w:r>
        <w:rPr>
          <w:bCs/>
          <w:b/>
        </w:rPr>
        <w:t xml:space="preserve">Academic Procurement Complexity:</w:t>
      </w:r>
      <w:r>
        <w:t xml:space="preserve"> </w:t>
      </w:r>
      <w:r>
        <w:t xml:space="preserve">Partnered with "Bavaria Educational Solutions" – a Munich-based procurement specialist – to streamline contracts across 12 university systems simultaneously.</w:t>
      </w:r>
    </w:p>
    <w:p>
      <w:pPr>
        <w:numPr>
          <w:ilvl w:val="0"/>
          <w:numId w:val="1003"/>
        </w:numPr>
        <w:pStyle w:val="Compact"/>
      </w:pPr>
      <w:r>
        <w:rPr>
          <w:bCs/>
          <w:b/>
        </w:rPr>
        <w:t xml:space="preserve">Cultural Nuances:</w:t>
      </w:r>
      <w:r>
        <w:t xml:space="preserve"> </w:t>
      </w:r>
      <w:r>
        <w:t xml:space="preserve">Avoided aggressive sales tactics; instead, adopted the German "Fachkraft" (expert) approach through peer-led technical demonstrations at local mathematical conferences.</w:t>
      </w:r>
    </w:p>
    <w:bookmarkEnd w:id="26"/>
    <w:bookmarkStart w:id="27" w:name="future-growth-strategy-for-munich-market"/>
    <w:p>
      <w:pPr>
        <w:pStyle w:val="Heading2"/>
      </w:pPr>
      <w:r>
        <w:t xml:space="preserve">Future Growth Strategy for Munich Market</w:t>
      </w:r>
    </w:p>
    <w:p>
      <w:pPr>
        <w:pStyle w:val="FirstParagraph"/>
      </w:pPr>
      <w:r>
        <w:t xml:space="preserve">Building on Q3 success, our 2024 Munich strategy focuses on three pillars:</w:t>
      </w:r>
    </w:p>
    <w:p>
      <w:pPr>
        <w:numPr>
          <w:ilvl w:val="0"/>
          <w:numId w:val="1004"/>
        </w:numPr>
        <w:pStyle w:val="Compact"/>
      </w:pPr>
      <w:r>
        <w:rPr>
          <w:bCs/>
          <w:b/>
        </w:rPr>
        <w:t xml:space="preserve">Sector Expansion:</w:t>
      </w:r>
      <w:r>
        <w:t xml:space="preserve"> </w:t>
      </w:r>
      <w:r>
        <w:t xml:space="preserve">Targeting Bavaria's automotive supply chain with "Mathematician for Automotive Engineering" modules – specifically developed with BMW and Siemens AG feedback.</w:t>
      </w:r>
    </w:p>
    <w:p>
      <w:pPr>
        <w:numPr>
          <w:ilvl w:val="0"/>
          <w:numId w:val="1004"/>
        </w:numPr>
        <w:pStyle w:val="Compact"/>
      </w:pPr>
      <w:r>
        <w:rPr>
          <w:bCs/>
          <w:b/>
        </w:rPr>
        <w:t xml:space="preserve">Government Partnership:</w:t>
      </w:r>
      <w:r>
        <w:t xml:space="preserve"> </w:t>
      </w:r>
      <w:r>
        <w:t xml:space="preserve">Pursuing the €1.2M "Bavarian Mathematical Excellence Initiative" grant program for subsidized deployment in public schools.</w:t>
      </w:r>
    </w:p>
    <w:p>
      <w:pPr>
        <w:numPr>
          <w:ilvl w:val="0"/>
          <w:numId w:val="1004"/>
        </w:numPr>
        <w:pStyle w:val="Compact"/>
      </w:pPr>
      <w:r>
        <w:rPr>
          <w:bCs/>
          <w:b/>
        </w:rPr>
        <w:t xml:space="preserve">Talent Integration:</w:t>
      </w:r>
      <w:r>
        <w:t xml:space="preserve"> </w:t>
      </w:r>
      <w:r>
        <w:t xml:space="preserve">Establishing a Munich-based R&amp;D team of 5 mathematicians to co-develop features with local institutions, strengthening our position as "the Mathematician product built in Munich."</w:t>
      </w:r>
    </w:p>
    <w:bookmarkEnd w:id="27"/>
    <w:bookmarkStart w:id="29" w:name="Xf70072599999703f3f9ef5764e32d11a8e246dc"/>
    <w:p>
      <w:pPr>
        <w:pStyle w:val="Heading2"/>
      </w:pPr>
      <w:r>
        <w:t xml:space="preserve">Conclusion: The Munich Mathematical Advantage</w:t>
      </w:r>
    </w:p>
    <w:p>
      <w:pPr>
        <w:pStyle w:val="FirstParagraph"/>
      </w:pPr>
      <w:r>
        <w:t xml:space="preserve">The Mathematician sales performance in Munich isn't merely a regional success story – it's a blueprint for penetrating Germany's specialized knowledge markets. By embedding ourselves within the city's mathematical DNA rather than merely selling a product, we've transformed from vendor to essential ecosystem partner. Munich's demand for solutions that respect academic rigor while driving industrial innovation has positioned Mathematician as the undisputed leader in German-speaking mathematics technology.</w:t>
      </w:r>
    </w:p>
    <w:p>
      <w:pPr>
        <w:pStyle w:val="BodyText"/>
      </w:pPr>
      <w:r>
        <w:t xml:space="preserve">Looking ahead, we project 2024 Munich revenue to exceed €1.8M – a 110% growth from 2023 – with Munich representing at least 35% of our total German market share by year-end. As Professor Hans-Joachim Vogel (Director, TUM Institute of Mathematics) recently noted: "Mathematician isn't just software; it's becoming the mathematical nervous system of Munich's innovation economy." This sales report confirms that in Germany's mathematical heartland, Mathematician has already become indispensable.</w:t>
      </w:r>
    </w:p>
    <w:bookmarkStart w:id="28" w:name="appendix-munich-market-validation"/>
    <w:p>
      <w:pPr>
        <w:pStyle w:val="Heading3"/>
      </w:pPr>
      <w:r>
        <w:t xml:space="preserve">Appendix: Munich Market Validation</w:t>
      </w:r>
    </w:p>
    <w:p>
      <w:pPr>
        <w:pStyle w:val="FirstParagraph"/>
      </w:pPr>
      <w:r>
        <w:t xml:space="preserve">"We've deployed Mathematician across 8 research groups at TUM. The platform reduced our theoretical modeling time by 62% – critical for projects like the German Aerospace Center's lunar landing simulation. This isn't an add-on; it's now core to our research methodology." - Dr. Anja Schmidt, Head of Computational Mathematics, Technical University of Munich</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Munich Sales &amp; Strategy Division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Munich Market</dc:title>
  <dc:creator/>
  <dc:language>en</dc:language>
  <cp:keywords/>
  <dcterms:created xsi:type="dcterms:W3CDTF">2025-12-09T16:05:31Z</dcterms:created>
  <dcterms:modified xsi:type="dcterms:W3CDTF">2025-12-09T16:05:31Z</dcterms:modified>
</cp:coreProperties>
</file>

<file path=docProps/custom.xml><?xml version="1.0" encoding="utf-8"?>
<Properties xmlns="http://schemas.openxmlformats.org/officeDocument/2006/custom-properties" xmlns:vt="http://schemas.openxmlformats.org/officeDocument/2006/docPropsVTypes"/>
</file>