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Jakarta</w:t>
      </w:r>
      <w:r>
        <w:t xml:space="preserve"> </w:t>
      </w:r>
      <w:r>
        <w:t xml:space="preserve">Indonesia</w:t>
      </w:r>
    </w:p>
    <w:bookmarkStart w:id="28" w:name="Xf453e18c4d401004eae331d9b067be0f7ea17ab"/>
    <w:p>
      <w:pPr>
        <w:pStyle w:val="Heading1"/>
      </w:pPr>
      <w:r>
        <w:t xml:space="preserve">Mathematician Sales Performance Report: Jakarta Indonesia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presents a comprehensive analysis of the sales performance for our flagship product "Mathematician" in the Jakarta metropolitan area. The Jakarta market has demonstrated significant growth potential for educational technology solutions, with "Mathematician" achieving a remarkable 37% year-over-year revenue increase. This success stems from strategic localization efforts tailored to Indonesia's unique educational landscape and the rising demand for STEM-focused tools among Jakarta's school systems. As the largest economic hub in Southeast Asia, Jakarta represents a critical market where "Mathematician" has established itself as a leading solution for mathematics education across 127 institutions.</w:t>
      </w:r>
    </w:p>
    <w:bookmarkEnd w:id="20"/>
    <w:bookmarkStart w:id="21" w:name="Xab4ac5317e87e25bc52a8ca3a8d95d9c405ddeb"/>
    <w:p>
      <w:pPr>
        <w:pStyle w:val="Heading2"/>
      </w:pPr>
      <w:r>
        <w:t xml:space="preserve">II. Sales Performance Highlights (Jakarta Region)</w:t>
      </w:r>
    </w:p>
    <w:p>
      <w:pPr>
        <w:pStyle w:val="FirstParagraph"/>
      </w:pPr>
      <w:r>
        <w:t xml:space="preserve">Key Metric</w:t>
      </w:r>
    </w:p>
    <w:p>
      <w:pPr>
        <w:pStyle w:val="BodyText"/>
      </w:pPr>
      <w:r>
        <w:t xml:space="preserve">Q3 2023</w:t>
      </w:r>
    </w:p>
    <w:p>
      <w:pPr>
        <w:pStyle w:val="BodyText"/>
      </w:pPr>
      <w:r>
        <w:t xml:space="preserve">Prior Year (Q3 2022)</w:t>
      </w:r>
    </w:p>
    <w:p>
      <w:pPr>
        <w:pStyle w:val="BodyText"/>
      </w:pPr>
      <w:r>
        <w:t xml:space="preserve">YoY Change</w:t>
      </w:r>
    </w:p>
    <w:p>
      <w:pPr>
        <w:pStyle w:val="BodyText"/>
      </w:pPr>
      <w:r>
        <w:t xml:space="preserve">Total Revenue (IDR)</w:t>
      </w:r>
    </w:p>
    <w:p>
      <w:pPr>
        <w:pStyle w:val="BodyText"/>
      </w:pPr>
      <w:r>
        <w:t xml:space="preserve">14,850,000,000</w:t>
      </w:r>
    </w:p>
    <w:p>
      <w:pPr>
        <w:pStyle w:val="BodyText"/>
      </w:pPr>
      <w:r>
        <w:t xml:space="preserve">11,728,567,349</w:t>
      </w:r>
    </w:p>
    <w:p>
      <w:pPr>
        <w:pStyle w:val="BodyText"/>
      </w:pPr>
      <w:r>
        <w:t xml:space="preserve">+37.2%</w:t>
      </w:r>
    </w:p>
    <w:p>
      <w:pPr>
        <w:pStyle w:val="BodyText"/>
      </w:pPr>
      <w:r>
        <w:t xml:space="preserve">New Institutional Clients</w:t>
      </w:r>
    </w:p>
    <w:p>
      <w:pPr>
        <w:pStyle w:val="BodyText"/>
      </w:pPr>
      <w:r>
        <w:t xml:space="preserve">42 schools/universities</w:t>
      </w:r>
    </w:p>
    <w:p>
      <w:pPr>
        <w:pStyle w:val="BodyText"/>
      </w:pPr>
      <w:r>
        <w:t xml:space="preserve">28 institutions</w:t>
      </w:r>
    </w:p>
    <w:p>
      <w:pPr>
        <w:pStyle w:val="BodyText"/>
      </w:pPr>
      <w:r>
        <w:t xml:space="preserve">+50.0%</w:t>
      </w:r>
    </w:p>
    <w:p>
      <w:pPr>
        <w:pStyle w:val="BodyText"/>
      </w:pPr>
      <w:r>
        <w:t xml:space="preserve">Subscription Growth Rate</w:t>
      </w:r>
    </w:p>
    <w:p>
      <w:pPr>
        <w:pStyle w:val="BodyText"/>
      </w:pPr>
      <w:r>
        <w:t xml:space="preserve">1,897 new licenses</w:t>
      </w:r>
    </w:p>
    <w:p>
      <w:pPr>
        <w:pStyle w:val="BodyText"/>
      </w:pPr>
      <w:r>
        <w:t xml:space="preserve">1,365 licenses</w:t>
      </w:r>
    </w:p>
    <w:p>
      <w:pPr>
        <w:pStyle w:val="BodyText"/>
      </w:pPr>
      <w:r>
        <w:t xml:space="preserve">+39.0%</w:t>
      </w:r>
    </w:p>
    <w:p>
      <w:pPr>
        <w:pStyle w:val="BodyText"/>
      </w:pPr>
      <w:r>
        <w:t xml:space="preserve">Customer Retention Rate</w:t>
      </w:r>
    </w:p>
    <w:p>
      <w:pPr>
        <w:pStyle w:val="BodyText"/>
      </w:pPr>
      <w:r>
        <w:t xml:space="preserve">89.3%</w:t>
      </w:r>
    </w:p>
    <w:p>
      <w:pPr>
        <w:pStyle w:val="BodyText"/>
      </w:pPr>
      <w:r>
        <w:t xml:space="preserve">82.1%</w:t>
      </w:r>
    </w:p>
    <w:p>
      <w:pPr>
        <w:pStyle w:val="BodyText"/>
      </w:pPr>
      <w:r>
        <w:t xml:space="preserve">+7.2 pts</w:t>
      </w:r>
    </w:p>
    <w:p>
      <w:pPr>
        <w:pStyle w:val="BodyText"/>
      </w:pPr>
      <w:r>
        <w:t xml:space="preserve">The Jakarta market has consistently outperformed other Indonesian regions, contributing 41% of our national revenue for "Mathematician" in Q3 2023. This growth is particularly significant given the competitive landscape, with traditional educational tools still dominating 68% of Jakarta's school budgets. Our success demonstrates that localized pedagogical approaches integrated into "Mathematician" resonate powerfully with Indonesian educators.</w:t>
      </w:r>
    </w:p>
    <w:bookmarkEnd w:id="21"/>
    <w:bookmarkStart w:id="22" w:name="X9f279b0100e388f107786f855abd44a40bd9ab7"/>
    <w:p>
      <w:pPr>
        <w:pStyle w:val="Heading2"/>
      </w:pPr>
      <w:r>
        <w:t xml:space="preserve">III. Market Analysis: Why Jakarta Succeeds for Mathematician</w:t>
      </w:r>
    </w:p>
    <w:p>
      <w:pPr>
        <w:pStyle w:val="FirstParagraph"/>
      </w:pPr>
      <w:r>
        <w:t xml:space="preserve">Jakarta's educational ecosystem presents unique opportunities for "Mathematician" due to three critical factors:</w:t>
      </w:r>
    </w:p>
    <w:p>
      <w:pPr>
        <w:numPr>
          <w:ilvl w:val="0"/>
          <w:numId w:val="1001"/>
        </w:numPr>
        <w:pStyle w:val="Compact"/>
      </w:pPr>
      <w:r>
        <w:rPr>
          <w:bCs/>
          <w:b/>
        </w:rPr>
        <w:t xml:space="preserve">National Education Policy Alignment:</w:t>
      </w:r>
      <w:r>
        <w:t xml:space="preserve"> </w:t>
      </w:r>
      <w:r>
        <w:t xml:space="preserve">Indonesia's Ministry of Education (Kemdikbud) prioritizes STEM education in its 2023-2025 roadmap. Jakarta schools, as early adopters of national initiatives, have allocated 17% more budget for digital learning tools compared to other provinces, creating perfect conditions for "Mathematician" integration.</w:t>
      </w:r>
    </w:p>
    <w:p>
      <w:pPr>
        <w:numPr>
          <w:ilvl w:val="0"/>
          <w:numId w:val="1001"/>
        </w:numPr>
        <w:pStyle w:val="Compact"/>
      </w:pPr>
      <w:r>
        <w:rPr>
          <w:bCs/>
          <w:b/>
        </w:rPr>
        <w:t xml:space="preserve">Urban Adoption Patterns:</w:t>
      </w:r>
      <w:r>
        <w:t xml:space="preserve"> </w:t>
      </w:r>
      <w:r>
        <w:t xml:space="preserve">With 98% internet penetration in Jakarta's urban centers (as per Badan Pusat Statistik), schools can reliably implement our cloud-based "Mathematician" platform. This infrastructure advantage is absent in rural Indonesia, making Jakarta the ideal launchpad for nationwide expansion.</w:t>
      </w:r>
    </w:p>
    <w:p>
      <w:pPr>
        <w:numPr>
          <w:ilvl w:val="0"/>
          <w:numId w:val="1001"/>
        </w:numPr>
        <w:pStyle w:val="Compact"/>
      </w:pPr>
      <w:r>
        <w:rPr>
          <w:bCs/>
          <w:b/>
        </w:rPr>
        <w:t xml:space="preserve">Cultural Resonance:</w:t>
      </w:r>
      <w:r>
        <w:t xml:space="preserve"> </w:t>
      </w:r>
      <w:r>
        <w:t xml:space="preserve">Our localized Indonesian language modules and culturally relevant problem sets (e.g., math problems based on Jakarta's daily commerce, transportation systems) have driven 63% higher engagement than global competitors in the region.</w:t>
      </w:r>
    </w:p>
    <w:bookmarkEnd w:id="22"/>
    <w:bookmarkStart w:id="23" w:name="Xf1b284ef676c0bea535951b4e13b3a612092dff"/>
    <w:p>
      <w:pPr>
        <w:pStyle w:val="Heading2"/>
      </w:pPr>
      <w:r>
        <w:t xml:space="preserve">IV. Product Performance: Mathematician in Jakarta Context</w:t>
      </w:r>
    </w:p>
    <w:p>
      <w:pPr>
        <w:pStyle w:val="FirstParagraph"/>
      </w:pPr>
      <w:r>
        <w:t xml:space="preserve">"Mathematician" has evolved beyond a standard math tool to become an indispensable part of Jakarta's educational infrastructure through three key adaptations:</w:t>
      </w:r>
    </w:p>
    <w:p>
      <w:pPr>
        <w:numPr>
          <w:ilvl w:val="0"/>
          <w:numId w:val="1002"/>
        </w:numPr>
        <w:pStyle w:val="Compact"/>
      </w:pPr>
      <w:r>
        <w:rPr>
          <w:bCs/>
          <w:b/>
        </w:rPr>
        <w:t xml:space="preserve">Curriculum Integration:</w:t>
      </w:r>
      <w:r>
        <w:t xml:space="preserve"> </w:t>
      </w:r>
      <w:r>
        <w:t xml:space="preserve">We developed "Mathematician for Indonesian Curriculum" modules aligned with the 2013 K-12 standards, featuring problem sets mirroring Jakarta's national exam (UN) patterns. This directly addressed a critical pain point: 76% of Jakarta teachers previously spent over 8 hours weekly adapting foreign tools to local syllabi.</w:t>
      </w:r>
    </w:p>
    <w:p>
      <w:pPr>
        <w:numPr>
          <w:ilvl w:val="0"/>
          <w:numId w:val="1002"/>
        </w:numPr>
        <w:pStyle w:val="Compact"/>
      </w:pPr>
      <w:r>
        <w:rPr>
          <w:bCs/>
          <w:b/>
        </w:rPr>
        <w:t xml:space="preserve">Teacher Training Program:</w:t>
      </w:r>
      <w:r>
        <w:t xml:space="preserve"> </w:t>
      </w:r>
      <w:r>
        <w:t xml:space="preserve">Our Jakarta-based team conducted 32 on-site workshops for educators, reducing implementation time by 54%. This localized support has been cited as the primary reason for high retention rates (89.3%) among Jakarta schools.</w:t>
      </w:r>
    </w:p>
    <w:p>
      <w:pPr>
        <w:numPr>
          <w:ilvl w:val="0"/>
          <w:numId w:val="1002"/>
        </w:numPr>
        <w:pStyle w:val="Compact"/>
      </w:pPr>
      <w:r>
        <w:rPr>
          <w:bCs/>
          <w:b/>
        </w:rPr>
        <w:t xml:space="preserve">Social Impact Feature:</w:t>
      </w:r>
      <w:r>
        <w:t xml:space="preserve"> </w:t>
      </w:r>
      <w:r>
        <w:t xml:space="preserve">The "Jakarta Community Math Challenge" feature connects school projects to real-world urban issues (e.g., calculating public transportation efficiency), making math relevant to students' daily lives and driving 42% higher student engagement in participating schools.</w:t>
      </w:r>
    </w:p>
    <w:bookmarkEnd w:id="23"/>
    <w:bookmarkStart w:id="24" w:name="Xcee22fefc49206c69cd435680a495f988d20a40"/>
    <w:p>
      <w:pPr>
        <w:pStyle w:val="Heading2"/>
      </w:pPr>
      <w:r>
        <w:t xml:space="preserve">V. Challenges and Strategic Opportunities</w:t>
      </w:r>
    </w:p>
    <w:p>
      <w:pPr>
        <w:pStyle w:val="FirstParagraph"/>
      </w:pPr>
      <w:r>
        <w:rPr>
          <w:bCs/>
          <w:b/>
        </w:rPr>
        <w:t xml:space="preserve">Current Challenges:</w:t>
      </w:r>
    </w:p>
    <w:p>
      <w:pPr>
        <w:numPr>
          <w:ilvl w:val="0"/>
          <w:numId w:val="1003"/>
        </w:numPr>
        <w:pStyle w:val="Compact"/>
      </w:pPr>
      <w:r>
        <w:t xml:space="preserve">Government procurement delays remain a hurdle (average 63-day wait for Jakarta school district approvals)</w:t>
      </w:r>
    </w:p>
    <w:p>
      <w:pPr>
        <w:numPr>
          <w:ilvl w:val="0"/>
          <w:numId w:val="1003"/>
        </w:numPr>
        <w:pStyle w:val="Compact"/>
      </w:pPr>
      <w:r>
        <w:t xml:space="preserve">Competition from low-cost local alternatives targeting budget-constrained schools</w:t>
      </w:r>
    </w:p>
    <w:p>
      <w:pPr>
        <w:numPr>
          <w:ilvl w:val="0"/>
          <w:numId w:val="1003"/>
        </w:numPr>
        <w:pStyle w:val="Compact"/>
      </w:pPr>
      <w:r>
        <w:t xml:space="preserve">Limited awareness among non-urban Jakarta districts (outskirts like Bekasi and Depok)</w:t>
      </w:r>
    </w:p>
    <w:p>
      <w:pPr>
        <w:pStyle w:val="FirstParagraph"/>
      </w:pPr>
      <w:r>
        <w:rPr>
          <w:bCs/>
          <w:b/>
        </w:rPr>
        <w:t xml:space="preserve">Strategic Opportunities:</w:t>
      </w:r>
    </w:p>
    <w:p>
      <w:pPr>
        <w:numPr>
          <w:ilvl w:val="0"/>
          <w:numId w:val="1004"/>
        </w:numPr>
        <w:pStyle w:val="Compact"/>
      </w:pPr>
      <w:r>
        <w:rPr>
          <w:iCs/>
          <w:i/>
        </w:rPr>
        <w:t xml:space="preserve">Government Partnership Program:</w:t>
      </w:r>
      <w:r>
        <w:t xml:space="preserve"> </w:t>
      </w:r>
      <w:r>
        <w:t xml:space="preserve">Leverage Jakarta's status as a pilot zone for Kemdikbud's digital education initiative to secure exclusive contracts with 15+ additional schools by Q1 2024</w:t>
      </w:r>
    </w:p>
    <w:p>
      <w:pPr>
        <w:numPr>
          <w:ilvl w:val="0"/>
          <w:numId w:val="1004"/>
        </w:numPr>
        <w:pStyle w:val="Compact"/>
      </w:pPr>
      <w:r>
        <w:rPr>
          <w:iCs/>
          <w:i/>
        </w:rPr>
        <w:t xml:space="preserve">Parental Engagement Module:</w:t>
      </w:r>
      <w:r>
        <w:t xml:space="preserve"> </w:t>
      </w:r>
      <w:r>
        <w:t xml:space="preserve">Develop a mobile app component for parents (87% of Jakarta households own smartphones) to monitor child progress, addressing the top parental request noted in our Q3 survey</w:t>
      </w:r>
    </w:p>
    <w:p>
      <w:pPr>
        <w:numPr>
          <w:ilvl w:val="0"/>
          <w:numId w:val="1004"/>
        </w:numPr>
        <w:pStyle w:val="Compact"/>
      </w:pPr>
      <w:r>
        <w:rPr>
          <w:iCs/>
          <w:i/>
        </w:rPr>
        <w:t xml:space="preserve">Cross-School Network:</w:t>
      </w:r>
      <w:r>
        <w:t xml:space="preserve"> </w:t>
      </w:r>
      <w:r>
        <w:t xml:space="preserve">Create "Jakarta Math League" tournaments with real-time leaderboards across schools, fostering community and driving subscription renewals</w:t>
      </w:r>
    </w:p>
    <w:bookmarkEnd w:id="24"/>
    <w:bookmarkStart w:id="25" w:name="X9acc158ac7184bec751b978c3690517329e4220"/>
    <w:p>
      <w:pPr>
        <w:pStyle w:val="Heading2"/>
      </w:pPr>
      <w:r>
        <w:t xml:space="preserve">VI. Recommendations for Jakarta Expansion Strategy</w:t>
      </w:r>
    </w:p>
    <w:p>
      <w:pPr>
        <w:numPr>
          <w:ilvl w:val="0"/>
          <w:numId w:val="1005"/>
        </w:numPr>
        <w:pStyle w:val="Compact"/>
      </w:pPr>
      <w:r>
        <w:rPr>
          <w:bCs/>
          <w:b/>
        </w:rPr>
        <w:t xml:space="preserve">Prioritize Government Contracts:</w:t>
      </w:r>
      <w:r>
        <w:t xml:space="preserve"> </w:t>
      </w:r>
      <w:r>
        <w:t xml:space="preserve">Allocate 40% of Q4 sales team effort toward securing Jakarta Education Office (Dinas Pendidikan DKI) contracts, targeting the 38 new schools approved in September 2023.</w:t>
      </w:r>
    </w:p>
    <w:p>
      <w:pPr>
        <w:numPr>
          <w:ilvl w:val="0"/>
          <w:numId w:val="1005"/>
        </w:numPr>
        <w:pStyle w:val="Compact"/>
      </w:pPr>
      <w:r>
        <w:rPr>
          <w:bCs/>
          <w:b/>
        </w:rPr>
        <w:t xml:space="preserve">Localized Content Development:</w:t>
      </w:r>
      <w:r>
        <w:t xml:space="preserve"> </w:t>
      </w:r>
      <w:r>
        <w:t xml:space="preserve">Invest IDR 1.2 billion into creating Jakarta-specific math scenarios (e.g., calculating rupiah exchange rates for local markets, optimizing traffic flow calculations), directly increasing product value perception.</w:t>
      </w:r>
    </w:p>
    <w:p>
      <w:pPr>
        <w:numPr>
          <w:ilvl w:val="0"/>
          <w:numId w:val="1005"/>
        </w:numPr>
        <w:pStyle w:val="Compact"/>
      </w:pPr>
      <w:r>
        <w:rPr>
          <w:bCs/>
          <w:b/>
        </w:rPr>
        <w:t xml:space="preserve">Tiered Pricing Model:</w:t>
      </w:r>
      <w:r>
        <w:t xml:space="preserve"> </w:t>
      </w:r>
      <w:r>
        <w:t xml:space="preserve">Introduce a "Jakarta Community Package" with reduced pricing for schools in underprivileged areas (like East Jakarta districts), expanding market reach while fulfilling corporate social responsibility goals.</w:t>
      </w:r>
    </w:p>
    <w:bookmarkEnd w:id="25"/>
    <w:bookmarkStart w:id="27" w:name="vii.-conclusion"/>
    <w:p>
      <w:pPr>
        <w:pStyle w:val="Heading2"/>
      </w:pPr>
      <w:r>
        <w:t xml:space="preserve">VII. Conclusion</w:t>
      </w:r>
    </w:p>
    <w:p>
      <w:pPr>
        <w:pStyle w:val="FirstParagraph"/>
      </w:pPr>
      <w:r>
        <w:t xml:space="preserve">The Jakarta market has proven to be the cornerstone of "Mathematician" success in Indonesia, demonstrating that culturally intelligent product adaptation combined with deep understanding of local educational needs drives sustainable growth. As Jakarta continues its transformation into Southeast Asia's premier education technology hub, our position as the preferred mathematics solution for Indonesian schools is becoming increasingly secure. The 37% revenue growth in Q3 2023 validates our localization strategy and positions "Mathematician" for even greater market share in Indonesia's rapidly expanding digital education sector.</w:t>
      </w:r>
    </w:p>
    <w:p>
      <w:pPr>
        <w:pStyle w:val="BodyText"/>
      </w:pPr>
      <w:r>
        <w:t xml:space="preserve">With Jakarta accounting for nearly half of our national revenue and exhibiting the highest retention rates among all Indonesian regions, this market demands strategic focus. We project that maintaining current momentum will enable "Mathematician" to capture 28% of Jakarta's school-based math software market by Q3 2024 – a significant increase from our current 15%. The path forward requires doubling down on the localized approach that has made "Mathematician" resonate with Jakarta's educators and students, while capitalizing on Indonesia's national education transformation.</w:t>
      </w:r>
    </w:p>
    <w:p>
      <w:pPr>
        <w:pStyle w:val="BodyText"/>
      </w:pPr>
      <w:r>
        <w:rPr>
          <w:bCs/>
          <w:b/>
        </w:rPr>
        <w:t xml:space="preserve">Final Note:</w:t>
      </w:r>
      <w:r>
        <w:t xml:space="preserve"> </w:t>
      </w:r>
      <w:r>
        <w:t xml:space="preserve">This report underscores why "Mathematician" must remain centrally focused in our Indonesia strategy. Jakarta is not merely a sales region – it's the proving ground for how we localize globally competitive educational technology for Southeast Asia.</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Performance Report - Jakarta Indonesia</dc:title>
  <dc:creator/>
  <dc:language>en</dc:language>
  <cp:keywords/>
  <dcterms:created xsi:type="dcterms:W3CDTF">2025-12-11T04:03:09Z</dcterms:created>
  <dcterms:modified xsi:type="dcterms:W3CDTF">2025-12-11T04:03:09Z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