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8" w:name="Xcfedc531ebad2d267b1909a9cefd571fee67467"/>
    <w:p>
      <w:pPr>
        <w:pStyle w:val="Heading1"/>
      </w:pPr>
      <w:r>
        <w:t xml:space="preserve">Mathematician Sales Report: Strategic Performance in Iran Tehran Educational Sector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market penetration, customer adoption, and revenue trajectory of the "Mathematician" educational platform within Tehran, Iran. As a cutting-edge AI-powered mathematics learning solution designed specifically for K-12 curricula, "Mathematician" has achieved remarkable milestones since its localized launch in Tehran during Q1 2023. The platform's adaptation to Iran's national mathematics syllabus and Persian-language interface has driven exceptional engagement across 47 public and private institutions in the Tehran metropolitan area. This report confirms a 185% YoY sales growth, establishing "Mathematician" as the leading digital mathematics solution in</w:t>
      </w:r>
      <w:r>
        <w:t xml:space="preserve"> </w:t>
      </w:r>
      <w:r>
        <w:rPr>
          <w:bCs/>
          <w:b/>
        </w:rPr>
        <w:t xml:space="preserve">Iran Tehran</w:t>
      </w:r>
      <w:r>
        <w:t xml:space="preserve">'s educational technology landscape.</w:t>
      </w:r>
    </w:p>
    <w:bookmarkEnd w:id="20"/>
    <w:bookmarkStart w:id="21" w:name="X0f9802829da9f9a51c92ec81e8643ed053d7718"/>
    <w:p>
      <w:pPr>
        <w:pStyle w:val="Heading2"/>
      </w:pPr>
      <w:r>
        <w:t xml:space="preserve">Market Context: The Mathematical Imperative in Iran</w:t>
      </w:r>
    </w:p>
    <w:p>
      <w:pPr>
        <w:pStyle w:val="FirstParagraph"/>
      </w:pPr>
      <w:r>
        <w:t xml:space="preserve">Tehran's educational ecosystem faces mounting pressure to modernize mathematics instruction amid national curriculum reforms. With 78% of Iranian students scoring below proficiency levels in STEM subjects (Ministry of Education, 2023), the demand for effective intervention tools has never been greater. "Mathematician" directly addresses this crisis through its culturally tailored approach:</w:t>
      </w:r>
    </w:p>
    <w:p>
      <w:pPr>
        <w:numPr>
          <w:ilvl w:val="0"/>
          <w:numId w:val="1001"/>
        </w:numPr>
        <w:pStyle w:val="Compact"/>
      </w:pPr>
      <w:r>
        <w:t xml:space="preserve">Content aligned with Iran's National Mathematics Curriculum (NMC) standards</w:t>
      </w:r>
    </w:p>
    <w:p>
      <w:pPr>
        <w:numPr>
          <w:ilvl w:val="0"/>
          <w:numId w:val="1001"/>
        </w:numPr>
        <w:pStyle w:val="Compact"/>
      </w:pPr>
      <w:r>
        <w:t xml:space="preserve">Persian-language adaptive problem sets mirroring Tehran's academic assessment frameworks</w:t>
      </w:r>
    </w:p>
    <w:p>
      <w:pPr>
        <w:numPr>
          <w:ilvl w:val="0"/>
          <w:numId w:val="1001"/>
        </w:numPr>
        <w:pStyle w:val="Compact"/>
      </w:pPr>
      <w:r>
        <w:t xml:space="preserve">Mobile-first design catering to Tehran's 92% smartphone penetration rate among students</w:t>
      </w:r>
    </w:p>
    <w:bookmarkEnd w:id="21"/>
    <w:bookmarkStart w:id="22" w:name="q3-2023-sales-performance-highlights"/>
    <w:p>
      <w:pPr>
        <w:pStyle w:val="Heading2"/>
      </w:pPr>
      <w:r>
        <w:t xml:space="preserve">Q3 2023 Sales Performance Highlights</w:t>
      </w:r>
    </w:p>
    <w:p>
      <w:pPr>
        <w:pStyle w:val="FirstParagraph"/>
      </w:pPr>
      <w:r>
        <w:t xml:space="preserve">Metric</w:t>
      </w:r>
    </w:p>
    <w:p>
      <w:pPr>
        <w:pStyle w:val="BodyText"/>
      </w:pPr>
      <w:r>
        <w:t xml:space="preserve">Q3 2023</w:t>
      </w:r>
    </w:p>
    <w:p>
      <w:pPr>
        <w:pStyle w:val="BodyText"/>
      </w:pPr>
      <w:r>
        <w:t xml:space="preserve">Q1-Q2 2023</w:t>
      </w:r>
    </w:p>
    <w:p>
      <w:pPr>
        <w:pStyle w:val="BodyText"/>
      </w:pPr>
      <w:r>
        <w:t xml:space="preserve">% Growth (vs. Previous Quarter)</w:t>
      </w:r>
    </w:p>
    <w:p>
      <w:pPr>
        <w:pStyle w:val="BodyText"/>
      </w:pPr>
      <w:r>
        <w:t xml:space="preserve">New Institutional Contracts (Tehran)</w:t>
      </w:r>
    </w:p>
    <w:p>
      <w:pPr>
        <w:pStyle w:val="BodyText"/>
      </w:pPr>
      <w:r>
        <w:t xml:space="preserve">19</w:t>
      </w:r>
    </w:p>
    <w:p>
      <w:pPr>
        <w:pStyle w:val="BodyText"/>
      </w:pPr>
      <w:r>
        <w:t xml:space="preserve">8</w:t>
      </w:r>
    </w:p>
    <w:p>
      <w:pPr>
        <w:pStyle w:val="BodyText"/>
      </w:pPr>
      <w:r>
        <w:t xml:space="preserve">137.5%</w:t>
      </w:r>
    </w:p>
    <w:p>
      <w:pPr>
        <w:pStyle w:val="BodyText"/>
      </w:pPr>
      <w:r>
        <w:t xml:space="preserve">Active Student Users (Tehran)</w:t>
      </w:r>
    </w:p>
    <w:p>
      <w:pPr>
        <w:pStyle w:val="BodyText"/>
      </w:pPr>
      <w:r>
        <w:t xml:space="preserve">42,600+</w:t>
      </w:r>
    </w:p>
    <w:p>
      <w:pPr>
        <w:pStyle w:val="BodyText"/>
      </w:pPr>
      <w:r>
        <w:t xml:space="preserve">24,100</w:t>
      </w:r>
    </w:p>
    <w:p>
      <w:pPr>
        <w:pStyle w:val="BodyText"/>
      </w:pPr>
      <w:r>
        <w:t xml:space="preserve">+77.5%</w:t>
      </w:r>
    </w:p>
    <w:p>
      <w:pPr>
        <w:pStyle w:val="BodyText"/>
      </w:pPr>
      <w:r>
        <w:t xml:space="preserve">The platform's success stems from strategic partnerships with Tehran's key educational bodies. Notable achievements include:</w:t>
      </w:r>
    </w:p>
    <w:p>
      <w:pPr>
        <w:numPr>
          <w:ilvl w:val="0"/>
          <w:numId w:val="1002"/>
        </w:numPr>
        <w:pStyle w:val="Compact"/>
      </w:pPr>
      <w:r>
        <w:t xml:space="preserve">Exclusive deployment in 12 high-performing Tehran public schools (including Imam Khomeini High School and Shahid Beheshti Secondary)</w:t>
      </w:r>
    </w:p>
    <w:p>
      <w:pPr>
        <w:numPr>
          <w:ilvl w:val="0"/>
          <w:numId w:val="1002"/>
        </w:numPr>
        <w:pStyle w:val="Compact"/>
      </w:pPr>
      <w:r>
        <w:t xml:space="preserve">Government endorsement under the "Digital Education for All" initiative</w:t>
      </w:r>
    </w:p>
    <w:p>
      <w:pPr>
        <w:numPr>
          <w:ilvl w:val="0"/>
          <w:numId w:val="1002"/>
        </w:numPr>
        <w:pStyle w:val="Compact"/>
      </w:pPr>
      <w:r>
        <w:t xml:space="preserve">School-wide implementation at Tehran's largest private institution, Farhangian Academy</w:t>
      </w:r>
    </w:p>
    <w:bookmarkEnd w:id="22"/>
    <w:bookmarkStart w:id="23" w:name="Xe38eaa8f7f08eae2b8a8c08f4cb7f84cff6553c"/>
    <w:p>
      <w:pPr>
        <w:pStyle w:val="Heading2"/>
      </w:pPr>
      <w:r>
        <w:t xml:space="preserve">Customer Adoption Analysis: Why Tehran Schools Chose "Mathematician"</w:t>
      </w:r>
    </w:p>
    <w:p>
      <w:pPr>
        <w:pStyle w:val="FirstParagraph"/>
      </w:pPr>
      <w:r>
        <w:t xml:space="preserve">Direct feedback from 31 Tehran-based educational administrators reveals compelling adoption drivers:</w:t>
      </w:r>
    </w:p>
    <w:p>
      <w:pPr>
        <w:pStyle w:val="BlockText"/>
      </w:pPr>
      <w:r>
        <w:t xml:space="preserve">"Before 'Mathematician', our calculus classes had a 41% failure rate. After implementation, failure rates dropped to 18% in just one semester. The platform's alignment with Iran's national assessment patterns made it instantly relevant for Tehran teachers."</w:t>
      </w:r>
      <w:r>
        <w:br/>
      </w:r>
      <w:r>
        <w:t xml:space="preserve">- Dr. Reza Karami, Head of Mathematics Department, Tehran Educational Directorate</w:t>
      </w:r>
    </w:p>
    <w:p>
      <w:pPr>
        <w:pStyle w:val="FirstParagraph"/>
      </w:pPr>
      <w:r>
        <w:t xml:space="preserve">Key adoption factors specific to the</w:t>
      </w:r>
      <w:r>
        <w:t xml:space="preserve"> </w:t>
      </w:r>
      <w:r>
        <w:rPr>
          <w:bCs/>
          <w:b/>
        </w:rPr>
        <w:t xml:space="preserve">Iran Tehran</w:t>
      </w:r>
      <w:r>
        <w:t xml:space="preserve"> </w:t>
      </w:r>
      <w:r>
        <w:t xml:space="preserve">context:</w:t>
      </w:r>
    </w:p>
    <w:p>
      <w:pPr>
        <w:numPr>
          <w:ilvl w:val="0"/>
          <w:numId w:val="1003"/>
        </w:numPr>
        <w:pStyle w:val="Compact"/>
      </w:pPr>
      <w:r>
        <w:rPr>
          <w:bCs/>
          <w:b/>
        </w:rPr>
        <w:t xml:space="preserve">Cultural Resonance:</w:t>
      </w:r>
      <w:r>
        <w:t xml:space="preserve"> </w:t>
      </w:r>
      <w:r>
        <w:t xml:space="preserve">All examples use Iranian contextual scenarios (e.g., "A car travels from Tehran to Isfahan at 120 km/h...")</w:t>
      </w:r>
    </w:p>
    <w:p>
      <w:pPr>
        <w:numPr>
          <w:ilvl w:val="0"/>
          <w:numId w:val="1003"/>
        </w:numPr>
        <w:pStyle w:val="Compact"/>
      </w:pPr>
      <w:r>
        <w:rPr>
          <w:bCs/>
          <w:b/>
        </w:rPr>
        <w:t xml:space="preserve">Infrastructure Compatibility:</w:t>
      </w:r>
      <w:r>
        <w:t xml:space="preserve"> </w:t>
      </w:r>
      <w:r>
        <w:t xml:space="preserve">Works offline on low-bandwidth systems prevalent in Tehran public schools</w:t>
      </w:r>
    </w:p>
    <w:p>
      <w:pPr>
        <w:numPr>
          <w:ilvl w:val="0"/>
          <w:numId w:val="1003"/>
        </w:numPr>
        <w:pStyle w:val="Compact"/>
      </w:pPr>
      <w:r>
        <w:rPr>
          <w:bCs/>
          <w:b/>
        </w:rPr>
        <w:t xml:space="preserve">Educator Support:</w:t>
      </w:r>
      <w:r>
        <w:t xml:space="preserve"> </w:t>
      </w:r>
      <w:r>
        <w:t xml:space="preserve">Dedicated Persian-speaking training for Tehran teachers through 36 workshops across the city</w:t>
      </w:r>
    </w:p>
    <w:bookmarkEnd w:id="23"/>
    <w:bookmarkStart w:id="24" w:name="Xa94971c9376fdca6854425636112bfb04d1ca78"/>
    <w:p>
      <w:pPr>
        <w:pStyle w:val="Heading2"/>
      </w:pPr>
      <w:r>
        <w:t xml:space="preserve">Revenue Streams and Pricing Strategy in Tehran Market</w:t>
      </w:r>
    </w:p>
    <w:p>
      <w:pPr>
        <w:pStyle w:val="FirstParagraph"/>
      </w:pPr>
      <w:r>
        <w:t xml:space="preserve">The "Mathematician" pricing model was meticulously designed for Iran's educational budget constraints:</w:t>
      </w:r>
    </w:p>
    <w:p>
      <w:pPr>
        <w:numPr>
          <w:ilvl w:val="0"/>
          <w:numId w:val="1004"/>
        </w:numPr>
        <w:pStyle w:val="Compact"/>
      </w:pPr>
      <w:r>
        <w:rPr>
          <w:bCs/>
          <w:b/>
        </w:rPr>
        <w:t xml:space="preserve">Institutional Licenses:</w:t>
      </w:r>
      <w:r>
        <w:t xml:space="preserve"> </w:t>
      </w:r>
      <w:r>
        <w:t xml:space="preserve">$1,200/year per school (35% below regional averages)</w:t>
      </w:r>
    </w:p>
    <w:p>
      <w:pPr>
        <w:numPr>
          <w:ilvl w:val="0"/>
          <w:numId w:val="1004"/>
        </w:numPr>
        <w:pStyle w:val="Compact"/>
      </w:pPr>
      <w:r>
        <w:rPr>
          <w:bCs/>
          <w:b/>
        </w:rPr>
        <w:t xml:space="preserve">Government Subsidy Model:</w:t>
      </w:r>
      <w:r>
        <w:t xml:space="preserve"> </w:t>
      </w:r>
      <w:r>
        <w:t xml:space="preserve">70% cost coverage through Tehran Municipal Education Fund</w:t>
      </w:r>
    </w:p>
    <w:p>
      <w:pPr>
        <w:numPr>
          <w:ilvl w:val="0"/>
          <w:numId w:val="1004"/>
        </w:numPr>
        <w:pStyle w:val="Compact"/>
      </w:pPr>
      <w:r>
        <w:rPr>
          <w:bCs/>
          <w:b/>
        </w:rPr>
        <w:t xml:space="preserve">Per-Student Micro-Subscription:</w:t>
      </w:r>
      <w:r>
        <w:t xml:space="preserve"> </w:t>
      </w:r>
      <w:r>
        <w:t xml:space="preserve">$1.80/student/year for schools with budget constraints</w:t>
      </w:r>
    </w:p>
    <w:p>
      <w:pPr>
        <w:pStyle w:val="FirstParagraph"/>
      </w:pPr>
      <w:r>
        <w:t xml:space="preserve">This strategy generated a $243,500 revenue stream in Tehran during Q3 2023 – representing 68% of total company revenue from Iran. Notably, 89% of new contracts came through formal tender processes managed by Tehran's Education Bureau.</w:t>
      </w:r>
    </w:p>
    <w:bookmarkEnd w:id="24"/>
    <w:bookmarkStart w:id="25" w:name="challenges-and-strategic-adaptations"/>
    <w:p>
      <w:pPr>
        <w:pStyle w:val="Heading2"/>
      </w:pPr>
      <w:r>
        <w:t xml:space="preserve">Challenges and Strategic Adaptations</w:t>
      </w:r>
    </w:p>
    <w:p>
      <w:pPr>
        <w:pStyle w:val="FirstParagraph"/>
      </w:pPr>
      <w:r>
        <w:t xml:space="preserve">Market entry faced significant challenges specific to</w:t>
      </w:r>
      <w:r>
        <w:t xml:space="preserve"> </w:t>
      </w:r>
      <w:r>
        <w:rPr>
          <w:bCs/>
          <w:b/>
        </w:rPr>
        <w:t xml:space="preserve">Iran Tehran</w:t>
      </w:r>
      <w:r>
        <w:t xml:space="preserve">'s regulatory environment:</w:t>
      </w:r>
    </w:p>
    <w:p>
      <w:pPr>
        <w:numPr>
          <w:ilvl w:val="0"/>
          <w:numId w:val="1005"/>
        </w:numPr>
        <w:pStyle w:val="Compact"/>
      </w:pPr>
      <w:r>
        <w:rPr>
          <w:iCs/>
          <w:i/>
        </w:rPr>
        <w:t xml:space="preserve">Challenge:</w:t>
      </w:r>
      <w:r>
        <w:t xml:space="preserve"> </w:t>
      </w:r>
      <w:r>
        <w:t xml:space="preserve">Initial resistance from curriculum authorities regarding AI-driven instruction</w:t>
      </w:r>
    </w:p>
    <w:p>
      <w:pPr>
        <w:numPr>
          <w:ilvl w:val="0"/>
          <w:numId w:val="1005"/>
        </w:numPr>
        <w:pStyle w:val="Compact"/>
      </w:pPr>
      <w:r>
        <w:rPr>
          <w:iCs/>
          <w:i/>
        </w:rPr>
        <w:t xml:space="preserve">Solution:</w:t>
      </w:r>
      <w:r>
        <w:t xml:space="preserve"> </w:t>
      </w:r>
      <w:r>
        <w:t xml:space="preserve">Collaborated with Tehran University of Education to co-develop a pedagogical framework validating "Mathematician" as a supplement, not replacement, for teacher instruction.</w:t>
      </w:r>
    </w:p>
    <w:p>
      <w:pPr>
        <w:pStyle w:val="FirstParagraph"/>
      </w:pPr>
      <w:r>
        <w:t xml:space="preserve">Additional challenges and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Response</w:t>
            </w:r>
          </w:p>
        </w:tc>
        <w:tc>
          <w:tcPr/>
          <w:p>
            <w:pPr>
              <w:pStyle w:val="Compact"/>
              <w:jc w:val="left"/>
            </w:pPr>
            <w:r>
              <w:t xml:space="preserve">Tehran-Specific Impact</w:t>
            </w:r>
          </w:p>
        </w:tc>
      </w:tr>
      <w:tr>
        <w:tc>
          <w:tcPr/>
          <w:p>
            <w:pPr>
              <w:pStyle w:val="Compact"/>
              <w:jc w:val="left"/>
            </w:pPr>
            <w:r>
              <w:t xml:space="preserve">Limited high-speed internet in public schools</w:t>
            </w:r>
          </w:p>
        </w:tc>
        <w:tc>
          <w:tcPr/>
          <w:p>
            <w:pPr>
              <w:pStyle w:val="Compact"/>
              <w:jc w:val="left"/>
            </w:pPr>
            <w:r>
              <w:t xml:space="preserve">Developed offline-first mobile app with weekly cloud syncs during school hours</w:t>
            </w:r>
          </w:p>
        </w:tc>
        <w:tc>
          <w:tcPr/>
          <w:p>
            <w:pPr>
              <w:pStyle w:val="Compact"/>
              <w:jc w:val="left"/>
            </w:pPr>
            <w:r>
              <w:t xml:space="preserve">Enabled use across 94% of Tehran public schools (vs. 62% for competitors)</w:t>
            </w:r>
          </w:p>
        </w:tc>
      </w:tr>
      <w:tr>
        <w:tc>
          <w:tcPr/>
          <w:p>
            <w:pPr>
              <w:pStyle w:val="Compact"/>
              <w:jc w:val="left"/>
            </w:pPr>
            <w:r>
              <w:t xml:space="preserve">Teacher resistance to new technology</w:t>
            </w:r>
          </w:p>
        </w:tc>
        <w:tc>
          <w:tcPr/>
          <w:p>
            <w:pPr>
              <w:pStyle w:val="Compact"/>
              <w:jc w:val="left"/>
            </w:pPr>
            <w:r>
              <w:t xml:space="preserve">Created "Mathematician Ambassador" program with Tehran-based teacher influencers</w:t>
            </w:r>
          </w:p>
        </w:tc>
        <w:tc>
          <w:tcPr/>
          <w:p>
            <w:pPr>
              <w:pStyle w:val="Compact"/>
              <w:jc w:val="left"/>
            </w:pPr>
            <w:r>
              <w:t xml:space="preserve">Increased teacher adoption rate by 300% in Q3</w:t>
            </w:r>
          </w:p>
        </w:tc>
      </w:tr>
    </w:tbl>
    <w:bookmarkEnd w:id="25"/>
    <w:bookmarkStart w:id="26" w:name="X3bfe63fa7ace4203773bf48f90ecf3a2525cb3f"/>
    <w:p>
      <w:pPr>
        <w:pStyle w:val="Heading2"/>
      </w:pPr>
      <w:r>
        <w:t xml:space="preserve">Future Outlook: Scaling Mathematics Excellence in Iran Tehran</w:t>
      </w:r>
    </w:p>
    <w:p>
      <w:pPr>
        <w:pStyle w:val="FirstParagraph"/>
      </w:pPr>
      <w:r>
        <w:t xml:space="preserve">The strategic roadmap for "Mathematician" in Tehran prioritizes:</w:t>
      </w:r>
    </w:p>
    <w:p>
      <w:pPr>
        <w:numPr>
          <w:ilvl w:val="0"/>
          <w:numId w:val="1006"/>
        </w:numPr>
        <w:pStyle w:val="Compact"/>
      </w:pPr>
      <w:r>
        <w:rPr>
          <w:bCs/>
          <w:b/>
        </w:rPr>
        <w:t xml:space="preserve">Government Partnership Expansion:</w:t>
      </w:r>
      <w:r>
        <w:t xml:space="preserve"> </w:t>
      </w:r>
      <w:r>
        <w:t xml:space="preserve">Targeting 100% coverage of Tehran public schools by Q1 2024 through a proposed municipal education fund allocation</w:t>
      </w:r>
    </w:p>
    <w:p>
      <w:pPr>
        <w:numPr>
          <w:ilvl w:val="0"/>
          <w:numId w:val="1006"/>
        </w:numPr>
        <w:pStyle w:val="Compact"/>
      </w:pPr>
      <w:r>
        <w:rPr>
          <w:bCs/>
          <w:b/>
        </w:rPr>
        <w:t xml:space="preserve">Advanced Feature Integration:</w:t>
      </w:r>
      <w:r>
        <w:t xml:space="preserve"> </w:t>
      </w:r>
      <w:r>
        <w:t xml:space="preserve">Launching "Tehran Exam Simulator" matching Azmoon-e Tawjihy-ye Melli patterns in Q1 2024</w:t>
      </w:r>
    </w:p>
    <w:p>
      <w:pPr>
        <w:numPr>
          <w:ilvl w:val="0"/>
          <w:numId w:val="1006"/>
        </w:numPr>
        <w:pStyle w:val="Compact"/>
      </w:pPr>
      <w:r>
        <w:rPr>
          <w:bCs/>
          <w:b/>
        </w:rPr>
        <w:t xml:space="preserve">University Pipeline:</w:t>
      </w:r>
      <w:r>
        <w:t xml:space="preserve"> </w:t>
      </w:r>
      <w:r>
        <w:t xml:space="preserve">Partnering with Tehran University of Science and Technology for teacher certification programs</w:t>
      </w:r>
    </w:p>
    <w:p>
      <w:pPr>
        <w:pStyle w:val="FirstParagraph"/>
      </w:pPr>
      <w:r>
        <w:t xml:space="preserve">Based on current momentum, conservative projections indicate $580,000 in annual revenue from Tehran alone by Q4 2024 – representing a 139% growth from initial sales. This trajectory positions "Mathematician" as the cornerstone of Iran's digital mathematics transformation, with</w:t>
      </w:r>
      <w:r>
        <w:t xml:space="preserve"> </w:t>
      </w:r>
      <w:r>
        <w:rPr>
          <w:bCs/>
          <w:b/>
        </w:rPr>
        <w:t xml:space="preserve">Tehran</w:t>
      </w:r>
      <w:r>
        <w:t xml:space="preserve"> </w:t>
      </w:r>
      <w:r>
        <w:t xml:space="preserve">serving as the national model for educational technology implementation.</w:t>
      </w:r>
    </w:p>
    <w:bookmarkEnd w:id="26"/>
    <w:bookmarkStart w:id="27" w:name="Xc6a4d13773f9f9ba980a4a412078d5beadef575"/>
    <w:p>
      <w:pPr>
        <w:pStyle w:val="Heading2"/>
      </w:pPr>
      <w:r>
        <w:t xml:space="preserve">Conclusion: The Mathematician Advantage in Iran's Educational Revolution</w:t>
      </w:r>
    </w:p>
    <w:p>
      <w:pPr>
        <w:pStyle w:val="FirstParagraph"/>
      </w:pPr>
      <w:r>
        <w:t xml:space="preserve">This</w:t>
      </w:r>
      <w:r>
        <w:t xml:space="preserve"> </w:t>
      </w:r>
      <w:r>
        <w:rPr>
          <w:bCs/>
          <w:b/>
        </w:rPr>
        <w:t xml:space="preserve">Sales Report</w:t>
      </w:r>
      <w:r>
        <w:t xml:space="preserve"> </w:t>
      </w:r>
      <w:r>
        <w:t xml:space="preserve">demonstrates that "Mathematician" is not merely a software product, but a catalyst for systemic change in Iran's mathematics education. By deeply understanding Tehran's academic culture, regulatory landscape, and pedagogical needs, "Mathematician" has achieved what few edtech solutions have: sustainable integration into the heart of Iran's educational ecosystem. The platform has transcended being a tool to become an essential instrument in addressing national learning gaps – proving that when technology respects cultural context and local priorities, it becomes indispensable. As Tehran schools increasingly measure success through improved mathematics proficiency, "Mathematician" stands positioned to lead this transformation across all 12 provinces of Iran.</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Confidentiality Level:</w:t>
      </w:r>
      <w:r>
        <w:t xml:space="preserve"> </w:t>
      </w:r>
      <w:r>
        <w:t xml:space="preserve">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Iran Tehran Market Analysis</dc:title>
  <dc:creator/>
  <dc:language>en</dc:language>
  <cp:keywords/>
  <dcterms:created xsi:type="dcterms:W3CDTF">2026-05-30T16:05:15Z</dcterms:created>
  <dcterms:modified xsi:type="dcterms:W3CDTF">2026-05-30T16:05:15Z</dcterms:modified>
</cp:coreProperties>
</file>

<file path=docProps/custom.xml><?xml version="1.0" encoding="utf-8"?>
<Properties xmlns="http://schemas.openxmlformats.org/officeDocument/2006/custom-properties" xmlns:vt="http://schemas.openxmlformats.org/officeDocument/2006/docPropsVTypes"/>
</file>