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w:t>
      </w:r>
      <w:r>
        <w:t xml:space="preserve"> </w:t>
      </w:r>
      <w:r>
        <w:t xml:space="preserve">Iraq</w:t>
      </w:r>
      <w:r>
        <w:t xml:space="preserve"> </w:t>
      </w:r>
      <w:r>
        <w:t xml:space="preserve">Baghdad</w:t>
      </w:r>
      <w:r>
        <w:t xml:space="preserve"> </w:t>
      </w:r>
      <w:r>
        <w:t xml:space="preserve">Market</w:t>
      </w:r>
    </w:p>
    <w:bookmarkStart w:id="31" w:name="Xfe4125ca849fffb6f72a3cd6454323b8a09ec24"/>
    <w:p>
      <w:pPr>
        <w:pStyle w:val="Heading1"/>
      </w:pPr>
      <w:r>
        <w:t xml:space="preserve">SALES REPORT: MATHEMATICIAN PRODUCT LINE IN IRAQ BAGHDAD</w:t>
      </w:r>
    </w:p>
    <w:p>
      <w:pPr>
        <w:pStyle w:val="FirstParagraph"/>
      </w:pPr>
      <w:r>
        <w:t xml:space="preserve">Prepared for Executive Leadership | Date: October 26, 2023 | Report ID: MATH-BG-2023-Q4</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the "Mathematician" educational software suite across Baghdad, Iraq during Q3 2023. The report confirms a remarkable 147% year-over-year growth in licensed units within Iraq's capital city, establishing Baghdad as our most promising market in the Middle East region. The</w:t>
      </w:r>
      <w:r>
        <w:t xml:space="preserve"> </w:t>
      </w:r>
      <w:r>
        <w:rPr>
          <w:bCs/>
          <w:b/>
        </w:rPr>
        <w:t xml:space="preserve">Mathematician</w:t>
      </w:r>
      <w:r>
        <w:t xml:space="preserve"> </w:t>
      </w:r>
      <w:r>
        <w:t xml:space="preserve">platform—designed for K-12 math education with Arabic language support—has achieved unprecedented adoption rates, directly addressing critical educational gaps in</w:t>
      </w:r>
      <w:r>
        <w:t xml:space="preserve"> </w:t>
      </w:r>
      <w:r>
        <w:rPr>
          <w:bCs/>
          <w:b/>
        </w:rPr>
        <w:t xml:space="preserve">Iraq Baghdad</w:t>
      </w:r>
      <w:r>
        <w:t xml:space="preserve">'s public school system.</w:t>
      </w:r>
    </w:p>
    <w:bookmarkEnd w:id="20"/>
    <w:bookmarkStart w:id="21" w:name="X1286736b506feb419efc74721652631b7accbb2"/>
    <w:p>
      <w:pPr>
        <w:pStyle w:val="Heading2"/>
      </w:pPr>
      <w:r>
        <w:t xml:space="preserve">Market Context: Iraq Baghdad's Educational Landscape</w:t>
      </w:r>
    </w:p>
    <w:p>
      <w:pPr>
        <w:pStyle w:val="FirstParagraph"/>
      </w:pPr>
      <w:r>
        <w:t xml:space="preserve">Baghdad faces significant challenges in mathematics education, with UNESCO reporting that only 38% of Iraqi secondary students achieve basic numeracy skills. The Iraqi Ministry of Education's 2022 National Education Strategy specifically prioritized "technology-enhanced STEM learning" for Baghdad and surrounding governorates. This strategic alignment positioned the</w:t>
      </w:r>
      <w:r>
        <w:t xml:space="preserve"> </w:t>
      </w:r>
      <w:r>
        <w:rPr>
          <w:bCs/>
          <w:b/>
        </w:rPr>
        <w:t xml:space="preserve">Mathematician</w:t>
      </w:r>
      <w:r>
        <w:t xml:space="preserve"> </w:t>
      </w:r>
      <w:r>
        <w:t xml:space="preserve">platform as a solution to national educational priorities. Our entry into Baghdad's market in Q1 2023 was met with immediate interest from 58 public schools across central districts (Al-Rusafa, Al-Karkh, and Adamiyah), representing an initial pilot of 4,200 student licenses.</w:t>
      </w:r>
    </w:p>
    <w:bookmarkEnd w:id="21"/>
    <w:bookmarkStart w:id="23"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Licensed Student Units (Baghdad)</w:t>
            </w:r>
          </w:p>
        </w:tc>
        <w:tc>
          <w:tcPr/>
          <w:p>
            <w:pPr>
              <w:pStyle w:val="Compact"/>
              <w:jc w:val="left"/>
            </w:pPr>
            <w:r>
              <w:t xml:space="preserve">14,800</w:t>
            </w:r>
          </w:p>
        </w:tc>
        <w:tc>
          <w:tcPr/>
          <w:p>
            <w:pPr>
              <w:pStyle w:val="Compact"/>
              <w:jc w:val="left"/>
            </w:pPr>
            <w:r>
              <w:t xml:space="preserve">7,250</w:t>
            </w:r>
          </w:p>
        </w:tc>
        <w:tc>
          <w:tcPr/>
          <w:p>
            <w:pPr>
              <w:pStyle w:val="Compact"/>
              <w:jc w:val="left"/>
            </w:pPr>
            <w:r>
              <w:t xml:space="preserve">+103.4%</w:t>
            </w:r>
          </w:p>
        </w:tc>
      </w:tr>
      <w:tr>
        <w:tc>
          <w:tcPr/>
          <w:p>
            <w:pPr>
              <w:pStyle w:val="Compact"/>
              <w:jc w:val="left"/>
            </w:pPr>
            <w:r>
              <w:t xml:space="preserve">Revenue (USD)</w:t>
            </w:r>
          </w:p>
        </w:tc>
        <w:tc>
          <w:tcPr/>
          <w:p>
            <w:pPr>
              <w:pStyle w:val="Compact"/>
              <w:jc w:val="left"/>
            </w:pPr>
            <w:r>
              <w:t xml:space="preserve">$218,500</w:t>
            </w:r>
          </w:p>
        </w:tc>
        <w:tc>
          <w:tcPr/>
          <w:p>
            <w:pPr>
              <w:pStyle w:val="Compact"/>
              <w:jc w:val="left"/>
            </w:pPr>
            <w:r>
              <w:t xml:space="preserve">$127,800</w:t>
            </w:r>
          </w:p>
        </w:tc>
        <w:tc>
          <w:tcPr/>
          <w:p>
            <w:pPr>
              <w:pStyle w:val="Compact"/>
              <w:jc w:val="left"/>
            </w:pPr>
            <w:r>
              <w:t xml:space="preserve">+71.0%</w:t>
            </w:r>
          </w:p>
        </w:tc>
      </w:tr>
      <w:tr>
        <w:tc>
          <w:tcPr/>
          <w:p>
            <w:pPr>
              <w:pStyle w:val="Compact"/>
              <w:jc w:val="left"/>
            </w:pPr>
            <w:r>
              <w:t xml:space="preserve">New School Partnerships</w:t>
            </w:r>
          </w:p>
        </w:tc>
        <w:tc>
          <w:tcPr/>
          <w:p>
            <w:pPr>
              <w:pStyle w:val="Compact"/>
              <w:jc w:val="left"/>
            </w:pPr>
            <w:r>
              <w:t xml:space="preserve">32 schools</w:t>
            </w:r>
          </w:p>
        </w:tc>
        <w:tc>
          <w:tcPr/>
          <w:p>
            <w:pPr>
              <w:pStyle w:val="Compact"/>
              <w:jc w:val="left"/>
            </w:pPr>
            <w:r>
              <w:t xml:space="preserve">18 schools</w:t>
            </w:r>
          </w:p>
        </w:tc>
        <w:tc>
          <w:tcPr/>
          <w:p>
            <w:pPr>
              <w:pStyle w:val="Compact"/>
              <w:jc w:val="left"/>
            </w:pPr>
            <w:r>
              <w:t xml:space="preserve">+77.8%</w:t>
            </w:r>
          </w:p>
        </w:tc>
      </w:tr>
      <w:tr>
        <w:tc>
          <w:tcPr/>
          <w:p>
            <w:pPr>
              <w:pStyle w:val="Compact"/>
              <w:jc w:val="left"/>
            </w:pPr>
            <w:r>
              <w:t xml:space="preserve">Government Contract Value (MoE)</w:t>
            </w:r>
          </w:p>
        </w:tc>
        <w:tc>
          <w:tcPr/>
          <w:p>
            <w:pPr>
              <w:pStyle w:val="Compact"/>
              <w:jc w:val="left"/>
            </w:pPr>
            <w:r>
              <w:t xml:space="preserve">$95,000</w:t>
            </w:r>
          </w:p>
        </w:tc>
        <w:tc>
          <w:tcPr/>
          <w:p>
            <w:pPr>
              <w:pStyle w:val="Compact"/>
              <w:jc w:val="left"/>
            </w:pPr>
            <w:r>
              <w:t xml:space="preserve">$22,500</w:t>
            </w:r>
          </w:p>
        </w:tc>
        <w:tc>
          <w:tcPr/>
          <w:p>
            <w:pPr>
              <w:pStyle w:val="Compact"/>
              <w:jc w:val="left"/>
            </w:pPr>
            <w:r>
              <w:t xml:space="preserve">+322%</w:t>
            </w:r>
          </w:p>
        </w:tc>
      </w:tr>
    </w:tbl>
    <w:bookmarkStart w:id="22" w:name="key-growth-drivers-in-baghdad"/>
    <w:p>
      <w:pPr>
        <w:pStyle w:val="Heading3"/>
      </w:pPr>
      <w:r>
        <w:t xml:space="preserve">Key Growth Drivers in Baghdad:</w:t>
      </w:r>
    </w:p>
    <w:p>
      <w:pPr>
        <w:numPr>
          <w:ilvl w:val="0"/>
          <w:numId w:val="1001"/>
        </w:numPr>
        <w:pStyle w:val="Compact"/>
      </w:pPr>
      <w:r>
        <w:rPr>
          <w:bCs/>
          <w:b/>
        </w:rPr>
        <w:t xml:space="preserve">Government Alignment:</w:t>
      </w:r>
      <w:r>
        <w:t xml:space="preserve"> </w:t>
      </w:r>
      <w:r>
        <w:t xml:space="preserve">Secured Ministry of Education contract for 25,000 licenses across Baghdad in September 2023 – the largest single government procurement to date.</w:t>
      </w:r>
    </w:p>
    <w:p>
      <w:pPr>
        <w:numPr>
          <w:ilvl w:val="0"/>
          <w:numId w:val="1001"/>
        </w:numPr>
        <w:pStyle w:val="Compact"/>
      </w:pPr>
      <w:r>
        <w:rPr>
          <w:bCs/>
          <w:b/>
        </w:rPr>
        <w:t xml:space="preserve">Cultural Resonance:</w:t>
      </w:r>
      <w:r>
        <w:t xml:space="preserve"> </w:t>
      </w:r>
      <w:r>
        <w:t xml:space="preserve">Arabic-language interface and locally relevant math problems (e.g., geometry using Islamic architectural patterns) increased teacher adoption by 68%.</w:t>
      </w:r>
    </w:p>
    <w:p>
      <w:pPr>
        <w:numPr>
          <w:ilvl w:val="0"/>
          <w:numId w:val="1001"/>
        </w:numPr>
        <w:pStyle w:val="Compact"/>
      </w:pPr>
      <w:r>
        <w:rPr>
          <w:bCs/>
          <w:b/>
        </w:rPr>
        <w:t xml:space="preserve">Infrastructure Partnership:</w:t>
      </w:r>
      <w:r>
        <w:t xml:space="preserve"> </w:t>
      </w:r>
      <w:r>
        <w:t xml:space="preserve">Collaborated with Baghdad Internet Company (BIC) to provide offline-capable tablets for schools lacking reliable connectivity.</w:t>
      </w:r>
    </w:p>
    <w:bookmarkEnd w:id="22"/>
    <w:bookmarkEnd w:id="23"/>
    <w:bookmarkStart w:id="24" w:name="Xb27d46d7d158cdfdb73680a9e3e3a42171fb62e"/>
    <w:p>
      <w:pPr>
        <w:pStyle w:val="Heading2"/>
      </w:pPr>
      <w:r>
        <w:t xml:space="preserve">Regional Analysis: Baghdad's Dominance in Iraq</w:t>
      </w:r>
    </w:p>
    <w:p>
      <w:pPr>
        <w:pStyle w:val="FirstParagraph"/>
      </w:pPr>
      <w:r>
        <w:t xml:space="preserve">Beyond Baghdad, sales performance shows a stark contrast. While other Iraqi cities (Basra, Mosul) recorded 15-20% growth in Q3, Baghdad accounted for 87% of all</w:t>
      </w:r>
      <w:r>
        <w:t xml:space="preserve"> </w:t>
      </w:r>
      <w:r>
        <w:rPr>
          <w:bCs/>
          <w:b/>
        </w:rPr>
        <w:t xml:space="preserve">Mathematician</w:t>
      </w:r>
      <w:r>
        <w:t xml:space="preserve"> </w:t>
      </w:r>
      <w:r>
        <w:t xml:space="preserve">licenses sold nationwide. This dominance stems from three critical factors:</w:t>
      </w:r>
    </w:p>
    <w:p>
      <w:pPr>
        <w:numPr>
          <w:ilvl w:val="0"/>
          <w:numId w:val="1002"/>
        </w:numPr>
        <w:pStyle w:val="Compact"/>
      </w:pPr>
      <w:r>
        <w:rPr>
          <w:bCs/>
          <w:b/>
        </w:rPr>
        <w:t xml:space="preserve">Centralized Procurement:</w:t>
      </w:r>
      <w:r>
        <w:t xml:space="preserve"> </w:t>
      </w:r>
      <w:r>
        <w:t xml:space="preserve">The Ministry of Education's headquarters in Baghdad controls all national education technology budgets, accelerating approval processes.</w:t>
      </w:r>
    </w:p>
    <w:p>
      <w:pPr>
        <w:numPr>
          <w:ilvl w:val="0"/>
          <w:numId w:val="1002"/>
        </w:numPr>
        <w:pStyle w:val="Compact"/>
      </w:pPr>
      <w:r>
        <w:rPr>
          <w:bCs/>
          <w:b/>
        </w:rPr>
        <w:t xml:space="preserve">Educator Network Effect:</w:t>
      </w:r>
      <w:r>
        <w:t xml:space="preserve"> </w:t>
      </w:r>
      <w:r>
        <w:t xml:space="preserve">Positive teacher testimonials from Baghdad schools spread rapidly through the National Teachers Association (NTA) network, creating organic demand.</w:t>
      </w:r>
    </w:p>
    <w:p>
      <w:pPr>
        <w:numPr>
          <w:ilvl w:val="0"/>
          <w:numId w:val="1002"/>
        </w:numPr>
        <w:pStyle w:val="Compact"/>
      </w:pPr>
      <w:r>
        <w:rPr>
          <w:bCs/>
          <w:b/>
        </w:rPr>
        <w:t xml:space="preserve">Localized Support:</w:t>
      </w:r>
      <w:r>
        <w:t xml:space="preserve"> </w:t>
      </w:r>
      <w:r>
        <w:t xml:space="preserve">Our Baghdad-based technical team (7 full-time staff) reduced response time to school issues from 48 hours to under 6 hours.</w:t>
      </w:r>
    </w:p>
    <w:bookmarkEnd w:id="24"/>
    <w:bookmarkStart w:id="27" w:name="challenges-and-strategic-opportunities"/>
    <w:p>
      <w:pPr>
        <w:pStyle w:val="Heading2"/>
      </w:pPr>
      <w:r>
        <w:t xml:space="preserve">Challenges and Strategic Opportunities</w:t>
      </w:r>
    </w:p>
    <w:bookmarkStart w:id="25" w:name="current-challenges"/>
    <w:p>
      <w:pPr>
        <w:pStyle w:val="Heading3"/>
      </w:pPr>
      <w:r>
        <w:t xml:space="preserve">Current Challenges:</w:t>
      </w:r>
    </w:p>
    <w:p>
      <w:pPr>
        <w:numPr>
          <w:ilvl w:val="0"/>
          <w:numId w:val="1003"/>
        </w:numPr>
        <w:pStyle w:val="Compact"/>
      </w:pPr>
      <w:r>
        <w:rPr>
          <w:bCs/>
          <w:b/>
        </w:rPr>
        <w:t xml:space="preserve">Payment Processing Delays:</w:t>
      </w:r>
      <w:r>
        <w:t xml:space="preserve"> </w:t>
      </w:r>
      <w:r>
        <w:t xml:space="preserve">Iraqi government budget cycles cause 45-60 day payment delays from Ministry contracts, straining cash flow.</w:t>
      </w:r>
    </w:p>
    <w:p>
      <w:pPr>
        <w:numPr>
          <w:ilvl w:val="0"/>
          <w:numId w:val="1003"/>
        </w:numPr>
        <w:pStyle w:val="Compact"/>
      </w:pPr>
      <w:r>
        <w:rPr>
          <w:bCs/>
          <w:b/>
        </w:rPr>
        <w:t xml:space="preserve">Device Accessibility:</w:t>
      </w:r>
      <w:r>
        <w:t xml:space="preserve"> </w:t>
      </w:r>
      <w:r>
        <w:t xml:space="preserve">Only 35% of Baghdad schools have sufficient tablets for full implementation (vs. 72% in urban centers globally).</w:t>
      </w:r>
    </w:p>
    <w:p>
      <w:pPr>
        <w:numPr>
          <w:ilvl w:val="0"/>
          <w:numId w:val="1003"/>
        </w:numPr>
        <w:pStyle w:val="Compact"/>
      </w:pPr>
      <w:r>
        <w:rPr>
          <w:bCs/>
          <w:b/>
        </w:rPr>
        <w:t xml:space="preserve">Cultural Nuances:</w:t>
      </w:r>
      <w:r>
        <w:t xml:space="preserve"> </w:t>
      </w:r>
      <w:r>
        <w:t xml:space="preserve">Initial resistance from teachers accustomed to traditional teaching methods required additional training sessions.</w:t>
      </w:r>
    </w:p>
    <w:bookmarkEnd w:id="25"/>
    <w:bookmarkStart w:id="26" w:name="strategic-opportunities-for-q4-2023"/>
    <w:p>
      <w:pPr>
        <w:pStyle w:val="Heading3"/>
      </w:pPr>
      <w:r>
        <w:t xml:space="preserve">Strategic Opportunities for Q4 2023:</w:t>
      </w:r>
    </w:p>
    <w:p>
      <w:pPr>
        <w:numPr>
          <w:ilvl w:val="0"/>
          <w:numId w:val="1004"/>
        </w:numPr>
        <w:pStyle w:val="Compact"/>
      </w:pPr>
      <w:r>
        <w:rPr>
          <w:bCs/>
          <w:b/>
        </w:rPr>
        <w:t xml:space="preserve">Expand Government Contracts:</w:t>
      </w:r>
      <w:r>
        <w:t xml:space="preserve"> </w:t>
      </w:r>
      <w:r>
        <w:t xml:space="preserve">Target a second-phase MoE agreement for 50,000 licenses covering all Baghdad public schools (estimated $185,000 revenue).</w:t>
      </w:r>
    </w:p>
    <w:p>
      <w:pPr>
        <w:numPr>
          <w:ilvl w:val="0"/>
          <w:numId w:val="1004"/>
        </w:numPr>
        <w:pStyle w:val="Compact"/>
      </w:pPr>
      <w:r>
        <w:rPr>
          <w:bCs/>
          <w:b/>
        </w:rPr>
        <w:t xml:space="preserve">Partnership with NGOs:</w:t>
      </w:r>
      <w:r>
        <w:t xml:space="preserve"> </w:t>
      </w:r>
      <w:r>
        <w:t xml:space="preserve">Collaborate with UNICEF Iraq on a "Mathematics for Girls" initiative targeting 3,500 female students in underserved Baghdad neighborhoods.</w:t>
      </w:r>
    </w:p>
    <w:p>
      <w:pPr>
        <w:numPr>
          <w:ilvl w:val="0"/>
          <w:numId w:val="1004"/>
        </w:numPr>
        <w:pStyle w:val="Compact"/>
      </w:pPr>
      <w:r>
        <w:rPr>
          <w:bCs/>
          <w:b/>
        </w:rPr>
        <w:t xml:space="preserve">Premium Tier Launch:</w:t>
      </w:r>
      <w:r>
        <w:t xml:space="preserve"> </w:t>
      </w:r>
      <w:r>
        <w:t xml:space="preserve">Introduce "Mathematician Pro" for university preparatory courses (priced at $15/student/year), capturing high-margin revenue from tertiary education.</w:t>
      </w:r>
    </w:p>
    <w:bookmarkEnd w:id="26"/>
    <w:bookmarkEnd w:id="27"/>
    <w:bookmarkStart w:id="28" w:name="impact-on-baghdads-educational-ecosystem"/>
    <w:p>
      <w:pPr>
        <w:pStyle w:val="Heading2"/>
      </w:pPr>
      <w:r>
        <w:t xml:space="preserve">Impact on Baghdad's Educational Ecosystem</w:t>
      </w:r>
    </w:p>
    <w:p>
      <w:pPr>
        <w:pStyle w:val="FirstParagraph"/>
      </w:pPr>
      <w:r>
        <w:t xml:space="preserve">Early data from pilot schools reveals transformative impact. In Al-Rusafa Public School #14, average math scores rose 32% in Q3 compared to Q1 2023. Teacher surveys (n=187) showed 89% reported "improved student engagement" with the</w:t>
      </w:r>
      <w:r>
        <w:t xml:space="preserve"> </w:t>
      </w:r>
      <w:r>
        <w:rPr>
          <w:bCs/>
          <w:b/>
        </w:rPr>
        <w:t xml:space="preserve">Mathematician</w:t>
      </w:r>
      <w:r>
        <w:t xml:space="preserve"> </w:t>
      </w:r>
      <w:r>
        <w:t xml:space="preserve">platform. This success has prompted Baghdad Governorate to allocate $500,000 toward digital education infrastructure in its 2024 budget – a direct result of our market validation.</w:t>
      </w:r>
    </w:p>
    <w:bookmarkEnd w:id="28"/>
    <w:bookmarkStart w:id="29" w:name="financial-projections-for-iraq-baghdad"/>
    <w:p>
      <w:pPr>
        <w:pStyle w:val="Heading2"/>
      </w:pPr>
      <w:r>
        <w:t xml:space="preserve">Financial Projections for Iraq Baghdad</w:t>
      </w:r>
    </w:p>
    <w:p>
      <w:pPr>
        <w:pStyle w:val="FirstParagraph"/>
      </w:pPr>
      <w:r>
        <w:t xml:space="preserve">Based on current momentum, we project:</w:t>
      </w:r>
    </w:p>
    <w:p>
      <w:pPr>
        <w:numPr>
          <w:ilvl w:val="0"/>
          <w:numId w:val="1005"/>
        </w:numPr>
        <w:pStyle w:val="Compact"/>
      </w:pPr>
      <w:r>
        <w:rPr>
          <w:bCs/>
          <w:b/>
        </w:rPr>
        <w:t xml:space="preserve">Full Year 2023:</w:t>
      </w:r>
      <w:r>
        <w:t xml:space="preserve"> </w:t>
      </w:r>
      <w:r>
        <w:t xml:space="preserve">$515,000 revenue (vs. $186,500 in 2022)</w:t>
      </w:r>
    </w:p>
    <w:p>
      <w:pPr>
        <w:numPr>
          <w:ilvl w:val="0"/>
          <w:numId w:val="1005"/>
        </w:numPr>
        <w:pStyle w:val="Compact"/>
      </w:pPr>
      <w:r>
        <w:rPr>
          <w:bCs/>
          <w:b/>
        </w:rPr>
        <w:t xml:space="preserve">Q1 2024:</w:t>
      </w:r>
      <w:r>
        <w:t xml:space="preserve"> </w:t>
      </w:r>
      <w:r>
        <w:t xml:space="preserve">Target $75,367 revenue from MoE phase two contract</w:t>
      </w:r>
    </w:p>
    <w:p>
      <w:pPr>
        <w:numPr>
          <w:ilvl w:val="0"/>
          <w:numId w:val="1005"/>
        </w:numPr>
        <w:pStyle w:val="Compact"/>
      </w:pPr>
      <w:r>
        <w:rPr>
          <w:bCs/>
          <w:b/>
        </w:rPr>
        <w:t xml:space="preserve">Market Penetration:</w:t>
      </w:r>
      <w:r>
        <w:t xml:space="preserve"> </w:t>
      </w:r>
      <w:r>
        <w:t xml:space="preserve">Achieving 45% coverage of Baghdad's public schools (vs. 8% in Q1) by December 2024</w:t>
      </w:r>
    </w:p>
    <w:bookmarkEnd w:id="29"/>
    <w:bookmarkStart w:id="30" w:name="conclusion-the-baghdad-imperative"/>
    <w:p>
      <w:pPr>
        <w:pStyle w:val="Heading2"/>
      </w:pPr>
      <w:r>
        <w:t xml:space="preserve">Conclusion: The Baghdad Imperative</w:t>
      </w:r>
    </w:p>
    <w:p>
      <w:pPr>
        <w:pStyle w:val="FirstParagraph"/>
      </w:pPr>
      <w:r>
        <w:t xml:space="preserve">This</w:t>
      </w:r>
      <w:r>
        <w:t xml:space="preserve"> </w:t>
      </w:r>
      <w:r>
        <w:rPr>
          <w:bCs/>
          <w:b/>
        </w:rPr>
        <w:t xml:space="preserve">sales report</w:t>
      </w:r>
      <w:r>
        <w:t xml:space="preserve"> </w:t>
      </w:r>
      <w:r>
        <w:t xml:space="preserve">unequivocally demonstrates that Baghdad is not merely a market for the</w:t>
      </w:r>
      <w:r>
        <w:t xml:space="preserve"> </w:t>
      </w:r>
      <w:r>
        <w:rPr>
          <w:bCs/>
          <w:b/>
        </w:rPr>
        <w:t xml:space="preserve">Mathematician</w:t>
      </w:r>
      <w:r>
        <w:t xml:space="preserve"> </w:t>
      </w:r>
      <w:r>
        <w:t xml:space="preserve">platform—it is the catalyst for our entire Middle East expansion strategy. Our success in Iraq's capital stems from understanding local educational challenges, building government partnerships, and adapting technology to cultural context. As we enter 2024, Baghdad will remain our strategic priority: a proving ground where we've transformed digital learning from a theoretical concept into measurable educational impact.</w:t>
      </w:r>
    </w:p>
    <w:p>
      <w:pPr>
        <w:pStyle w:val="BodyText"/>
      </w:pPr>
      <w:r>
        <w:t xml:space="preserve">Recommendation: Allocate 65% of regional R&amp;D budget to enhance Arabic-language features and offline functionality for Iraq Baghdad. The return on investment in this market is not just financial—it's measured in improved numeracy rates across 200,000 Baghdad students by year-end 2024.</w:t>
      </w:r>
    </w:p>
    <w:p>
      <w:pPr>
        <w:pStyle w:val="BodyText"/>
      </w:pPr>
      <w:r>
        <w:rPr>
          <w:bCs/>
          <w:b/>
        </w:rPr>
        <w:t xml:space="preserve">Prepared By:</w:t>
      </w:r>
      <w:r>
        <w:t xml:space="preserve"> </w:t>
      </w:r>
      <w:r>
        <w:t xml:space="preserve">Regional Sales Director, Middle East</w:t>
      </w:r>
      <w:r>
        <w:br/>
      </w:r>
      <w:r>
        <w:rPr>
          <w:bCs/>
          <w:b/>
        </w:rPr>
        <w:t xml:space="preserve">Contact:</w:t>
      </w:r>
      <w:r>
        <w:t xml:space="preserve"> </w:t>
      </w:r>
      <w:r>
        <w:t xml:space="preserve">sales.mideast@mathematician.education</w:t>
      </w:r>
      <w:r>
        <w:br/>
      </w:r>
      <w:r>
        <w:rPr>
          <w:iCs/>
          <w:i/>
        </w:rPr>
        <w:t xml:space="preserve">This report covers all licensed units sold in Baghdad Governorate, Iraq</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 Iraq Baghdad Market</dc:title>
  <dc:creator/>
  <dc:language>en</dc:language>
  <cp:keywords/>
  <dcterms:created xsi:type="dcterms:W3CDTF">2025-12-09T14:01:42Z</dcterms:created>
  <dcterms:modified xsi:type="dcterms:W3CDTF">2025-12-09T14:01:42Z</dcterms:modified>
</cp:coreProperties>
</file>

<file path=docProps/custom.xml><?xml version="1.0" encoding="utf-8"?>
<Properties xmlns="http://schemas.openxmlformats.org/officeDocument/2006/custom-properties" xmlns:vt="http://schemas.openxmlformats.org/officeDocument/2006/docPropsVTypes"/>
</file>