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Services</w:t>
      </w:r>
      <w:r>
        <w:t xml:space="preserve"> </w:t>
      </w:r>
      <w:r>
        <w:t xml:space="preserve">-</w:t>
      </w:r>
      <w:r>
        <w:t xml:space="preserve"> </w:t>
      </w:r>
      <w:r>
        <w:t xml:space="preserve">Kyoto</w:t>
      </w:r>
      <w:r>
        <w:t xml:space="preserve"> </w:t>
      </w:r>
      <w:r>
        <w:t xml:space="preserve">Market</w:t>
      </w:r>
      <w:r>
        <w:t xml:space="preserve"> </w:t>
      </w:r>
      <w:r>
        <w:t xml:space="preserve">Analysis</w:t>
      </w:r>
    </w:p>
    <w:bookmarkStart w:id="29" w:name="Xf60f151bc26d9a2940e1632bb3b09d7b510748f"/>
    <w:p>
      <w:pPr>
        <w:pStyle w:val="Heading1"/>
      </w:pPr>
      <w:r>
        <w:t xml:space="preserve">Comprehensive Sales Report: Elevating Mathematical Excellence in Japan Kyoto Through Specialized Educator Partnerships</w:t>
      </w:r>
    </w:p>
    <w:p>
      <w:pPr>
        <w:pStyle w:val="FirstParagraph"/>
      </w:pPr>
      <w:r>
        <w:rPr>
          <w:bCs/>
          <w:b/>
        </w:rPr>
        <w:t xml:space="preserve">Prepared For:</w:t>
      </w:r>
      <w:r>
        <w:t xml:space="preserve"> </w:t>
      </w:r>
      <w:r>
        <w:t xml:space="preserve">Global Education Solutions Executive Board</w:t>
      </w:r>
      <w:r>
        <w:br/>
      </w:r>
      <w:r>
        <w:rPr>
          <w:bCs/>
          <w:b/>
        </w:rPr>
        <w:t xml:space="preserve">Date:</w:t>
      </w:r>
      <w:r>
        <w:t xml:space="preserve"> </w:t>
      </w:r>
      <w:r>
        <w:t xml:space="preserve">October 26, 2023</w:t>
      </w:r>
      <w:r>
        <w:br/>
      </w:r>
      <w:r>
        <w:rPr>
          <w:bCs/>
          <w:b/>
        </w:rPr>
        <w:t xml:space="preserve">Subject:</w:t>
      </w:r>
      <w:r>
        <w:t xml:space="preserve"> </w:t>
      </w:r>
      <w:r>
        <w:t xml:space="preserve">Market Performance and Strategic Expansion of Mathematician-Focused Educational Services in Kyoto, Japan</w:t>
      </w:r>
    </w:p>
    <w:bookmarkStart w:id="20" w:name="i.-executive-summary"/>
    <w:p>
      <w:pPr>
        <w:pStyle w:val="Heading2"/>
      </w:pPr>
      <w:r>
        <w:t xml:space="preserve">I. Executive Summary</w:t>
      </w:r>
    </w:p>
    <w:p>
      <w:pPr>
        <w:pStyle w:val="FirstParagraph"/>
      </w:pPr>
      <w:r>
        <w:t xml:space="preserve">This report details the successful market penetration and sales performance of our specialized "Mathematician Excellence Program" within Kyoto, Japan—a region renowned for its rich academic heritage at institutions like Kyoto University and a growing demand for advanced STEM education. Since launching localized offerings in Q1 2023, our service has achieved a 35% month-over-month growth rate among Kyoto-based educational institutions and corporate R&amp;D departments. This success underscores the critical value of deploying highly qualified "Mathematician" experts to address Kyoto's unique educational needs, positioning us as the premier provider for transformative mathematical education in Japan's cultural capital.</w:t>
      </w:r>
    </w:p>
    <w:bookmarkEnd w:id="20"/>
    <w:bookmarkStart w:id="21" w:name="X9bf664e21ac566140e8819e3ada942de72b04c1"/>
    <w:p>
      <w:pPr>
        <w:pStyle w:val="Heading2"/>
      </w:pPr>
      <w:r>
        <w:t xml:space="preserve">II. Market Context: The Kyoto Mathematical Imperative</w:t>
      </w:r>
    </w:p>
    <w:p>
      <w:pPr>
        <w:pStyle w:val="FirstParagraph"/>
      </w:pPr>
      <w:r>
        <w:t xml:space="preserve">Kyoto represents a strategic frontier for advanced mathematical education. As Japan’s traditional center of learning and innovation, Kyoto hosts 70+ institutions with rigorous mathematics curricula, yet faces a growing gap between theoretical pedagogy and real-world application demanded by industries like robotics (Osaka-based firms) and precision manufacturing (Kyoto’s "Kyo-ware" ceramics technology sector). Our analysis reveals that 68% of Kyoto educators cite insufficient access to industry-aligned mathematical expertise—a void our Mathematician-led programs directly address. This is not merely a sales opportunity; it is a cultural necessity for Kyoto's continued leadership in Japan's STEM ecosystem.</w:t>
      </w:r>
    </w:p>
    <w:bookmarkEnd w:id="21"/>
    <w:bookmarkStart w:id="24" w:name="X40e82c40c640da336aa907e6d83d36f0c41dcf6"/>
    <w:p>
      <w:pPr>
        <w:pStyle w:val="Heading2"/>
      </w:pPr>
      <w:r>
        <w:t xml:space="preserve">III. Sales Performance: Quantitative and Qualitative Milestones (Q1–Q3 2023)</w:t>
      </w:r>
    </w:p>
    <w:bookmarkStart w:id="22" w:name="a.-key-revenue-streams"/>
    <w:p>
      <w:pPr>
        <w:pStyle w:val="Heading3"/>
      </w:pPr>
      <w:r>
        <w:t xml:space="preserve">A. Key 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(JPY)</w:t>
            </w:r>
          </w:p>
        </w:tc>
        <w:tc>
          <w:tcPr/>
          <w:p>
            <w:pPr>
              <w:pStyle w:val="Compact"/>
              <w:jc w:val="left"/>
            </w:pPr>
            <w:r>
              <w:t xml:space="preserve">% of Total Kyoto Sales</w:t>
            </w:r>
          </w:p>
        </w:tc>
        <w:tc>
          <w:tcPr/>
          <w:p>
            <w:pPr>
              <w:pStyle w:val="Compact"/>
              <w:jc w:val="left"/>
            </w:pPr>
            <w:r>
              <w:t xml:space="preserve">Growth vs. Prior Period</w:t>
            </w:r>
          </w:p>
        </w:tc>
      </w:tr>
      <w:tr>
        <w:tc>
          <w:tcPr/>
          <w:p>
            <w:pPr>
              <w:pStyle w:val="Compact"/>
              <w:jc w:val="left"/>
            </w:pPr>
            <w:r>
              <w:t xml:space="preserve">Kyoto School Integration Program</w:t>
            </w:r>
          </w:p>
        </w:tc>
        <w:tc>
          <w:tcPr/>
          <w:p>
            <w:pPr>
              <w:pStyle w:val="Compact"/>
              <w:jc w:val="left"/>
            </w:pPr>
            <w:r>
              <w:t xml:space="preserve">¥18,750,000</w:t>
            </w:r>
          </w:p>
        </w:tc>
        <w:tc>
          <w:tcPr/>
          <w:p>
            <w:pPr>
              <w:pStyle w:val="Compact"/>
              <w:jc w:val="left"/>
            </w:pPr>
            <w:r>
              <w:t xml:space="preserve">42%</w:t>
            </w:r>
          </w:p>
        </w:tc>
        <w:tc>
          <w:tcPr/>
          <w:p>
            <w:pPr>
              <w:pStyle w:val="Compact"/>
              <w:jc w:val="left"/>
            </w:pPr>
            <w:r>
              <w:t xml:space="preserve">+38% MoM</w:t>
            </w:r>
          </w:p>
        </w:tc>
      </w:tr>
      <w:tr>
        <w:tc>
          <w:tcPr/>
          <w:p>
            <w:pPr>
              <w:pStyle w:val="Compact"/>
              <w:jc w:val="left"/>
            </w:pPr>
            <w:r>
              <w:t xml:space="preserve">CORPORATE R&amp;D Mathematician Consultations (e.g., robotics firms)</w:t>
            </w:r>
          </w:p>
        </w:tc>
        <w:tc>
          <w:tcPr/>
          <w:p>
            <w:pPr>
              <w:pStyle w:val="Compact"/>
              <w:jc w:val="left"/>
            </w:pPr>
            <w:r>
              <w:t xml:space="preserve">¥12,600,000</w:t>
            </w:r>
          </w:p>
        </w:tc>
        <w:tc>
          <w:tcPr/>
          <w:p>
            <w:pPr>
              <w:pStyle w:val="Compact"/>
              <w:jc w:val="left"/>
            </w:pPr>
            <w:r>
              <w:t xml:space="preserve">28%</w:t>
            </w:r>
          </w:p>
        </w:tc>
        <w:tc>
          <w:tcPr/>
          <w:p>
            <w:pPr>
              <w:pStyle w:val="Compact"/>
              <w:jc w:val="left"/>
            </w:pPr>
            <w:r>
              <w:t xml:space="preserve">+41% MoM</w:t>
            </w:r>
          </w:p>
        </w:tc>
      </w:tr>
      <w:tr>
        <w:tc>
          <w:tcPr/>
          <w:p>
            <w:pPr>
              <w:pStyle w:val="Compact"/>
              <w:jc w:val="left"/>
            </w:pPr>
            <w:r>
              <w:t xml:space="preserve">University Collaboration: Kyoto University Math Department Partnerships</w:t>
            </w:r>
          </w:p>
        </w:tc>
        <w:tc>
          <w:tcPr/>
          <w:p>
            <w:pPr>
              <w:pStyle w:val="Compact"/>
              <w:jc w:val="left"/>
            </w:pPr>
            <w:r>
              <w:t xml:space="preserve">¥9,450,000</w:t>
            </w:r>
          </w:p>
        </w:tc>
        <w:tc>
          <w:tcPr/>
          <w:p>
            <w:pPr>
              <w:pStyle w:val="Compact"/>
              <w:jc w:val="left"/>
            </w:pPr>
            <w:r>
              <w:t xml:space="preserve">21%</w:t>
            </w:r>
          </w:p>
        </w:tc>
        <w:tc>
          <w:tcPr/>
          <w:p>
            <w:pPr>
              <w:pStyle w:val="Compact"/>
              <w:jc w:val="left"/>
            </w:pPr>
            <w:r>
              <w:t xml:space="preserve">+33% MoM</w:t>
            </w:r>
          </w:p>
        </w:tc>
      </w:tr>
      <w:tr>
        <w:tc>
          <w:tcPr/>
          <w:p>
            <w:pPr>
              <w:pStyle w:val="Compact"/>
              <w:jc w:val="left"/>
            </w:pPr>
            <w:r>
              <w:rPr>
                <w:iCs/>
                <w:i/>
              </w:rPr>
              <w:t xml:space="preserve">TOTAL (Q3 2023)</w:t>
            </w:r>
          </w:p>
        </w:tc>
        <w:tc>
          <w:tcPr/>
          <w:p>
            <w:pPr>
              <w:pStyle w:val="Compact"/>
              <w:jc w:val="left"/>
            </w:pPr>
            <w:r>
              <w:rPr>
                <w:iCs/>
                <w:i/>
              </w:rPr>
              <w:t xml:space="preserve">¥40,800,000</w:t>
            </w:r>
          </w:p>
        </w:tc>
        <w:tc>
          <w:tcPr/>
          <w:p>
            <w:pPr>
              <w:pStyle w:val="Compact"/>
              <w:jc w:val="left"/>
            </w:pPr>
            <w:r>
              <w:rPr>
                <w:iCs/>
                <w:i/>
              </w:rPr>
              <w:t xml:space="preserve">100%</w:t>
            </w:r>
          </w:p>
        </w:tc>
        <w:tc>
          <w:tcPr/>
          <w:p>
            <w:pPr>
              <w:pStyle w:val="Compact"/>
              <w:jc w:val="left"/>
            </w:pPr>
            <w:r>
              <w:rPr>
                <w:iCs/>
                <w:i/>
              </w:rPr>
              <w:t xml:space="preserve">+35% MoM</w:t>
            </w:r>
          </w:p>
        </w:tc>
      </w:tr>
    </w:tbl>
    <w:bookmarkEnd w:id="22"/>
    <w:bookmarkStart w:id="23" w:name="b.-strategic-market-adoption-metrics"/>
    <w:p>
      <w:pPr>
        <w:pStyle w:val="Heading3"/>
      </w:pPr>
      <w:r>
        <w:t xml:space="preserve">B. Strategic Market Adoption Metrics</w:t>
      </w:r>
    </w:p>
    <w:p>
      <w:pPr>
        <w:numPr>
          <w:ilvl w:val="0"/>
          <w:numId w:val="1001"/>
        </w:numPr>
        <w:pStyle w:val="Compact"/>
      </w:pPr>
      <w:r>
        <w:rPr>
          <w:bCs/>
          <w:b/>
        </w:rPr>
        <w:t xml:space="preserve">Client Acquisition:</w:t>
      </w:r>
      <w:r>
        <w:t xml:space="preserve"> </w:t>
      </w:r>
      <w:r>
        <w:t xml:space="preserve">27 new institutional partnerships signed in Kyoto, including 5 Tier-1 national schools (e.g., Kyoto Prefectural University of Medicine) and 3 key manufacturing R&amp;D centers.</w:t>
      </w:r>
    </w:p>
    <w:p>
      <w:pPr>
        <w:numPr>
          <w:ilvl w:val="0"/>
          <w:numId w:val="1001"/>
        </w:numPr>
        <w:pStyle w:val="Compact"/>
      </w:pPr>
      <w:r>
        <w:rPr>
          <w:bCs/>
          <w:b/>
        </w:rPr>
        <w:t xml:space="preserve">Mathematician Deployment:</w:t>
      </w:r>
      <w:r>
        <w:t xml:space="preserve"> </w:t>
      </w:r>
      <w:r>
        <w:t xml:space="preserve">Successfully placed 14 certified "Mathematician" educators across Kyoto institutions, trained in both advanced mathematical theory and Japanese pedagogical practices (e.g., adapting to the "kodomo no seishin" learning philosophy).</w:t>
      </w:r>
    </w:p>
    <w:p>
      <w:pPr>
        <w:numPr>
          <w:ilvl w:val="0"/>
          <w:numId w:val="1001"/>
        </w:numPr>
        <w:pStyle w:val="Compact"/>
      </w:pPr>
      <w:r>
        <w:rPr>
          <w:bCs/>
          <w:b/>
        </w:rPr>
        <w:t xml:space="preserve">Cultural Integration:</w:t>
      </w:r>
      <w:r>
        <w:t xml:space="preserve"> </w:t>
      </w:r>
      <w:r>
        <w:t xml:space="preserve">100% of programs incorporate Kyoto-specific case studies (e.g., applying calculus to traditional craft optimization, statistical modeling for Gion district tourism analytics), enhancing local relevance.</w:t>
      </w:r>
    </w:p>
    <w:bookmarkEnd w:id="23"/>
    <w:bookmarkEnd w:id="24"/>
    <w:bookmarkStart w:id="25" w:name="X661464c23b84da7883c22043c1f5eb313e469a8"/>
    <w:p>
      <w:pPr>
        <w:pStyle w:val="Heading2"/>
      </w:pPr>
      <w:r>
        <w:t xml:space="preserve">IV. The "Mathematician" as a Competitive Differentiator in Kyoto</w:t>
      </w:r>
    </w:p>
    <w:p>
      <w:pPr>
        <w:pStyle w:val="FirstParagraph"/>
      </w:pPr>
      <w:r>
        <w:t xml:space="preserve">Our sales strategy centers on the unique value of our certified "Mathematician" partners—more than just instructors, they are industry-versed problem-solvers fluent in Japanese business culture. This distinguishes us from generic STEM providers. For example:</w:t>
      </w:r>
    </w:p>
    <w:p>
      <w:pPr>
        <w:numPr>
          <w:ilvl w:val="0"/>
          <w:numId w:val="1002"/>
        </w:numPr>
        <w:pStyle w:val="Compact"/>
      </w:pPr>
      <w:r>
        <w:t xml:space="preserve">In a recent Kyoto University pilot, our Mathematician-led workshop increased student project completion rates by 52% through real-world case studies (e.g., optimizing the geometry of Kiyomizu-dera Temple’s wooden structures).</w:t>
      </w:r>
    </w:p>
    <w:p>
      <w:pPr>
        <w:numPr>
          <w:ilvl w:val="0"/>
          <w:numId w:val="1002"/>
        </w:numPr>
        <w:pStyle w:val="Compact"/>
      </w:pPr>
      <w:r>
        <w:t xml:space="preserve">Corporate clients like Kyoto-based robotics firm "Aistec" reported 27% faster R&amp;D cycle times after implementing our Mathematician-designed algorithmic frameworks, directly linking math to tangible innovation.</w:t>
      </w:r>
    </w:p>
    <w:p>
      <w:pPr>
        <w:pStyle w:val="FirstParagraph"/>
      </w:pPr>
      <w:r>
        <w:t xml:space="preserve">The term "Mathematician" in our branding is not marketing fluff—it reflects the rigor of our educator selection (all hold advanced degrees with industry experience) and resonates deeply with Kyoto’s academic pride. Local educators consistently cite the "Mathematician" label as a trust signal, distinguishing us from competitors using generic "math tutor" terminology.</w:t>
      </w:r>
    </w:p>
    <w:bookmarkEnd w:id="25"/>
    <w:bookmarkStart w:id="26" w:name="Xb275644029edfe85259cded55f9bfcb56409685"/>
    <w:p>
      <w:pPr>
        <w:pStyle w:val="Heading2"/>
      </w:pPr>
      <w:r>
        <w:t xml:space="preserve">V. Cultural Nuances Driving Sales Success in Kyoto</w:t>
      </w:r>
    </w:p>
    <w:p>
      <w:pPr>
        <w:pStyle w:val="FirstParagraph"/>
      </w:pPr>
      <w:r>
        <w:t xml:space="preserve">Sales growth is intrinsically tied to our understanding of Kyoto’s business ethos:</w:t>
      </w:r>
    </w:p>
    <w:p>
      <w:pPr>
        <w:numPr>
          <w:ilvl w:val="0"/>
          <w:numId w:val="1003"/>
        </w:numPr>
        <w:pStyle w:val="Compact"/>
      </w:pPr>
      <w:r>
        <w:rPr>
          <w:bCs/>
          <w:b/>
        </w:rPr>
        <w:t xml:space="preserve">Respect for Academic Hierarchy (Tate no Sato):</w:t>
      </w:r>
      <w:r>
        <w:t xml:space="preserve"> </w:t>
      </w:r>
      <w:r>
        <w:t xml:space="preserve">We align sales outreach with traditional Japanese academic protocols, involving department heads in all discussions (e.g., securing endorsements from Kyoto University's Mathematics Department Chair before client meetings).</w:t>
      </w:r>
    </w:p>
    <w:p>
      <w:pPr>
        <w:numPr>
          <w:ilvl w:val="0"/>
          <w:numId w:val="1003"/>
        </w:numPr>
        <w:pStyle w:val="Compact"/>
      </w:pPr>
      <w:r>
        <w:rPr>
          <w:bCs/>
          <w:b/>
        </w:rPr>
        <w:t xml:space="preserve">Nemawashi (Consensus-Building):</w:t>
      </w:r>
      <w:r>
        <w:t xml:space="preserve"> </w:t>
      </w:r>
      <w:r>
        <w:t xml:space="preserve">All contracts were finalized only after informal consultations with local educational networks—critical for gaining trust in Kyoto’s relationship-driven market.</w:t>
      </w:r>
    </w:p>
    <w:p>
      <w:pPr>
        <w:numPr>
          <w:ilvl w:val="0"/>
          <w:numId w:val="1003"/>
        </w:numPr>
        <w:pStyle w:val="Compact"/>
      </w:pPr>
      <w:r>
        <w:rPr>
          <w:bCs/>
          <w:b/>
        </w:rPr>
        <w:t xml:space="preserve">Localization Beyond Translation:</w:t>
      </w:r>
      <w:r>
        <w:t xml:space="preserve"> </w:t>
      </w:r>
      <w:r>
        <w:t xml:space="preserve">Our materials avoid literal English-to-Japanese translations; instead, we embed concepts within Kyoto’s cultural context (e.g., using "Kintsugi" art to teach error-correction in statistical models).</w:t>
      </w:r>
    </w:p>
    <w:bookmarkEnd w:id="26"/>
    <w:bookmarkStart w:id="27" w:name="X830381bda52adad03162a2f51c3b30ccd4aba1d"/>
    <w:p>
      <w:pPr>
        <w:pStyle w:val="Heading2"/>
      </w:pPr>
      <w:r>
        <w:t xml:space="preserve">VI. Strategic Recommendations for Kyoto Expansion</w:t>
      </w:r>
    </w:p>
    <w:p>
      <w:pPr>
        <w:pStyle w:val="FirstParagraph"/>
      </w:pPr>
      <w:r>
        <w:t xml:space="preserve">To capitalize on this momentum, we recommend:</w:t>
      </w:r>
    </w:p>
    <w:p>
      <w:pPr>
        <w:numPr>
          <w:ilvl w:val="0"/>
          <w:numId w:val="1004"/>
        </w:numPr>
        <w:pStyle w:val="Compact"/>
      </w:pPr>
      <w:r>
        <w:rPr>
          <w:bCs/>
          <w:b/>
        </w:rPr>
        <w:t xml:space="preserve">Launch "Kyoto Mathematician Fellowship":</w:t>
      </w:r>
      <w:r>
        <w:t xml:space="preserve"> </w:t>
      </w:r>
      <w:r>
        <w:t xml:space="preserve">A scholarship program for Kyoto University students to train under our Mathematician partners, fostering future local talent and strengthening institutional ties.</w:t>
      </w:r>
    </w:p>
    <w:p>
      <w:pPr>
        <w:numPr>
          <w:ilvl w:val="0"/>
          <w:numId w:val="1004"/>
        </w:numPr>
        <w:pStyle w:val="Compact"/>
      </w:pPr>
      <w:r>
        <w:rPr>
          <w:bCs/>
          <w:b/>
        </w:rPr>
        <w:t xml:space="preserve">Host "Mathematician Forum" at Gion District:</w:t>
      </w:r>
      <w:r>
        <w:t xml:space="preserve"> </w:t>
      </w:r>
      <w:r>
        <w:t xml:space="preserve">A high-profile event at a historic Kyoto venue to showcase how mathematical innovation preserves cultural heritage (e.g., AI in restoring ancient temple blueprints).</w:t>
      </w:r>
    </w:p>
    <w:p>
      <w:pPr>
        <w:numPr>
          <w:ilvl w:val="0"/>
          <w:numId w:val="1004"/>
        </w:numPr>
        <w:pStyle w:val="Compact"/>
      </w:pPr>
      <w:r>
        <w:rPr>
          <w:bCs/>
          <w:b/>
        </w:rPr>
        <w:t xml:space="preserve">Develop Corporate Tiered Packages:</w:t>
      </w:r>
      <w:r>
        <w:t xml:space="preserve"> </w:t>
      </w:r>
      <w:r>
        <w:t xml:space="preserve">Create specialized offerings for Kyoto’s top 10 manufacturing firms, emphasizing ROI through precision engineering math—targeting ¥25M+ in Q4 sales.</w:t>
      </w:r>
    </w:p>
    <w:bookmarkEnd w:id="27"/>
    <w:bookmarkStart w:id="28" w:name="Xde9af0cebd99293e1cc23a335313a67423be99f"/>
    <w:p>
      <w:pPr>
        <w:pStyle w:val="Heading2"/>
      </w:pPr>
      <w:r>
        <w:t xml:space="preserve">VII. Conclusion: The Future of Mathematical Excellence in Kyoto</w:t>
      </w:r>
    </w:p>
    <w:p>
      <w:pPr>
        <w:pStyle w:val="FirstParagraph"/>
      </w:pPr>
      <w:r>
        <w:t xml:space="preserve">Kyoto is not merely a market for our services; it is the proving ground for how "Mathematician" expertise can transform education and industry within Japan’s most culturally sophisticated city. Our sales data confirms that when mathematical excellence is delivered through deeply localized, culturally attuned partnerships—led by certified Mathematicians—we don’t just sell programs; we become catalysts for Kyoto’s next era of innovation. With 89% of current Kyoto clients expressing interest in multi-year contracts, the path forward is clear: deepen our Mathematician-led presence across all levels of Kyoto’s academic and corporate ecosystem. The numbers are compelling, but the cultural resonance—the genuine alignment between our Mathematician mission and Kyoto's enduring pursuit of knowledge—makes this a transformational opportunity for Global Education Solutions.</w:t>
      </w:r>
    </w:p>
    <w:p>
      <w:pPr>
        <w:pStyle w:val="BodyText"/>
      </w:pPr>
      <w:r>
        <w:rPr>
          <w:iCs/>
          <w:i/>
        </w:rPr>
        <w:t xml:space="preserve">Prepared by: Global Education Solutions, Kyoto Market Strategy Unit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Educational Services - Kyoto Market Analysis</dc:title>
  <dc:creator/>
  <dc:language>en</dc:language>
  <cp:keywords/>
  <dcterms:created xsi:type="dcterms:W3CDTF">2025-12-09T18:58:51Z</dcterms:created>
  <dcterms:modified xsi:type="dcterms:W3CDTF">2025-12-09T18:58:51Z</dcterms:modified>
</cp:coreProperties>
</file>

<file path=docProps/custom.xml><?xml version="1.0" encoding="utf-8"?>
<Properties xmlns="http://schemas.openxmlformats.org/officeDocument/2006/custom-properties" xmlns:vt="http://schemas.openxmlformats.org/officeDocument/2006/docPropsVTypes"/>
</file>