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w:t>
      </w:r>
      <w:r>
        <w:t xml:space="preserve"> </w:t>
      </w:r>
      <w:r>
        <w:t xml:space="preserve">Tokyo</w:t>
      </w:r>
      <w:r>
        <w:t xml:space="preserve"> </w:t>
      </w:r>
      <w:r>
        <w:t xml:space="preserve">Market</w:t>
      </w:r>
    </w:p>
    <w:bookmarkStart w:id="32" w:name="X8a910d46880d9244092d19695304d24928d7b24"/>
    <w:p>
      <w:pPr>
        <w:pStyle w:val="Heading1"/>
      </w:pPr>
      <w:r>
        <w:t xml:space="preserve">Mathematician Product Sales Performance Report: Tokyo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Prepared By:</w:t>
      </w:r>
      <w:r>
        <w:t xml:space="preserve"> </w:t>
      </w:r>
      <w:r>
        <w:t xml:space="preserve">East Asia Sales Division, Tokyo Office</w:t>
      </w:r>
    </w:p>
    <w:bookmarkStart w:id="20" w:name="i.-executive-summary"/>
    <w:p>
      <w:pPr>
        <w:pStyle w:val="Heading2"/>
      </w:pPr>
      <w:r>
        <w:t xml:space="preserve">I. Executive Summary</w:t>
      </w:r>
    </w:p>
    <w:p>
      <w:pPr>
        <w:pStyle w:val="FirstParagraph"/>
      </w:pPr>
      <w:r>
        <w:t xml:space="preserve">The "Mathematician" suite of computational tools has achieved remarkable traction in the Tokyo market during Q3 2023, establishing itself as the premier solution for advanced mathematical processing across Japan's corporate and academic sectors. With a 147% year-over-year growth in sales revenue, Tokyo has become our most profitable metropolitan hub outside of Singapore. This report details the strategic factors driving success, customer adoption patterns specific to Tokyo's unique business ecosystem, and actionable insights for sustained growth of the "Mathematician" brand in Japan.</w:t>
      </w:r>
    </w:p>
    <w:bookmarkEnd w:id="20"/>
    <w:bookmarkStart w:id="21" w:name="X13bebc0e60c154171430a767dd1613506099e1a"/>
    <w:p>
      <w:pPr>
        <w:pStyle w:val="Heading2"/>
      </w:pPr>
      <w:r>
        <w:t xml:space="preserve">II. Market Context: Why Tokyo Demands "Mathematician"</w:t>
      </w:r>
    </w:p>
    <w:p>
      <w:pPr>
        <w:pStyle w:val="FirstParagraph"/>
      </w:pPr>
      <w:r>
        <w:t xml:space="preserve">Tokyo's status as Asia's financial and technological epicenter creates unprecedented demand for precision-driven mathematical solutions. The city hosts 68% of Japan's Fortune 500 headquarters, including major banks (Mitsubishi UFJ, Sumitomo Mitsui), semiconductor giants (Toshiba, Renesas), and AI research institutions. This concentration necessitates tools that handle complex financial modeling, quantum computing simulations, and real-time data analytics with Japanese business precision. The "Mathematician" platform uniquely addresses these needs through its integration of JIS (Japanese Industrial Standards) compliance, multilingual support for Japanese technical terminology, and localized optimization for Tokyo's high-frequency trading environments.</w:t>
      </w:r>
    </w:p>
    <w:bookmarkEnd w:id="21"/>
    <w:bookmarkStart w:id="23" w:name="X245da44b966ee41518d78aa3cbb764b024899c5"/>
    <w:p>
      <w:pPr>
        <w:pStyle w:val="Heading2"/>
      </w:pPr>
      <w:r>
        <w:t xml:space="preserve">III. Q3 Sales Performance Breakdown: Tokyo</w:t>
      </w:r>
    </w:p>
    <w:p>
      <w:pPr>
        <w:pStyle w:val="FirstParagraph"/>
      </w:pPr>
      <w:r>
        <w:t xml:space="preserve">Key Metric</w:t>
      </w:r>
    </w:p>
    <w:p>
      <w:pPr>
        <w:pStyle w:val="BodyText"/>
      </w:pPr>
      <w:r>
        <w:t xml:space="preserve">Q3 2023</w:t>
      </w:r>
    </w:p>
    <w:p>
      <w:pPr>
        <w:pStyle w:val="BodyText"/>
      </w:pPr>
      <w:r>
        <w:t xml:space="preserve">Y/Y Change</w:t>
      </w:r>
    </w:p>
    <w:p>
      <w:pPr>
        <w:pStyle w:val="BodyText"/>
      </w:pPr>
      <w:r>
        <w:t xml:space="preserve">Market Share (Tokyo)</w:t>
      </w:r>
    </w:p>
    <w:p>
      <w:pPr>
        <w:pStyle w:val="BodyText"/>
      </w:pPr>
      <w:r>
        <w:t xml:space="preserve">Sales Revenue (JPY)</w:t>
      </w:r>
    </w:p>
    <w:p>
      <w:pPr>
        <w:pStyle w:val="BodyText"/>
      </w:pPr>
      <w:r>
        <w:t xml:space="preserve">¥487,200,000</w:t>
      </w:r>
    </w:p>
    <w:p>
      <w:pPr>
        <w:pStyle w:val="BodyText"/>
      </w:pPr>
      <w:r>
        <w:t xml:space="preserve">+147%</w:t>
      </w:r>
    </w:p>
    <w:p>
      <w:pPr>
        <w:pStyle w:val="BodyText"/>
      </w:pPr>
      <w:r>
        <w:t xml:space="preserve">38.5% (up from 29.1% in Q2)</w:t>
      </w:r>
    </w:p>
    <w:p>
      <w:pPr>
        <w:pStyle w:val="BodyText"/>
      </w:pPr>
      <w:r>
        <w:t xml:space="preserve">New Enterprise Contracts</w:t>
      </w:r>
    </w:p>
    <w:p>
      <w:pPr>
        <w:pStyle w:val="BodyText"/>
      </w:pPr>
      <w:r>
        <w:t xml:space="preserve">42</w:t>
      </w:r>
    </w:p>
    <w:p>
      <w:pPr>
        <w:pStyle w:val="BodyText"/>
      </w:pPr>
      <w:r>
        <w:t xml:space="preserve">+183%</w:t>
      </w:r>
    </w:p>
    <w:p>
      <w:pPr>
        <w:pStyle w:val="BodyText"/>
      </w:pPr>
      <w:r>
        <w:br/>
      </w:r>
    </w:p>
    <w:p>
      <w:pPr>
        <w:pStyle w:val="BodyText"/>
      </w:pPr>
      <w:r>
        <w:t xml:space="preserve">Top 5 accounts: Nomura Securities, SoftBank AI Division, Tokyo University Research Lab, Hitachi Solutions, Sony Financial Services</w:t>
      </w:r>
    </w:p>
    <w:p>
      <w:pPr>
        <w:pStyle w:val="BodyText"/>
      </w:pPr>
      <w:r>
        <w:t xml:space="preserve">Enterprise Contract Value (Avg.)</w:t>
      </w:r>
    </w:p>
    <w:p>
      <w:pPr>
        <w:pStyle w:val="BodyText"/>
      </w:pPr>
      <w:r>
        <w:t xml:space="preserve">¥11.6M</w:t>
      </w:r>
    </w:p>
    <w:p>
      <w:pPr>
        <w:pStyle w:val="BodyText"/>
      </w:pPr>
      <w:r>
        <w:t xml:space="preserve">+22%</w:t>
      </w:r>
    </w:p>
    <w:p>
      <w:pPr>
        <w:pStyle w:val="BodyText"/>
      </w:pPr>
      <w:r>
        <w:br/>
      </w:r>
    </w:p>
    <w:p>
      <w:pPr>
        <w:pStyle w:val="BodyText"/>
      </w:pPr>
      <w:r>
        <w:t xml:space="preserve">Exceeds Tokyo market average by 37%</w:t>
      </w:r>
    </w:p>
    <w:bookmarkStart w:id="22" w:name="a.-sector-specific-adoption"/>
    <w:p>
      <w:pPr>
        <w:pStyle w:val="Heading3"/>
      </w:pPr>
      <w:r>
        <w:t xml:space="preserve">A. Sector-Specific Adoption</w:t>
      </w:r>
    </w:p>
    <w:p>
      <w:pPr>
        <w:numPr>
          <w:ilvl w:val="0"/>
          <w:numId w:val="1001"/>
        </w:numPr>
        <w:pStyle w:val="Compact"/>
      </w:pPr>
      <w:r>
        <w:rPr>
          <w:bCs/>
          <w:b/>
        </w:rPr>
        <w:t xml:space="preserve">Financial Services (62% of revenue):</w:t>
      </w:r>
      <w:r>
        <w:t xml:space="preserve"> </w:t>
      </w:r>
      <w:r>
        <w:t xml:space="preserve">Nomura Securities implemented "Mathematician" for real-time risk modeling, reducing portfolio stress-test time by 74%. The platform's integration with Tokyo Stock Exchange APIs was pivotal.</w:t>
      </w:r>
    </w:p>
    <w:p>
      <w:pPr>
        <w:numPr>
          <w:ilvl w:val="0"/>
          <w:numId w:val="1001"/>
        </w:numPr>
        <w:pStyle w:val="Compact"/>
      </w:pPr>
      <w:r>
        <w:rPr>
          <w:bCs/>
          <w:b/>
        </w:rPr>
        <w:t xml:space="preserve">Manufacturing (23%):</w:t>
      </w:r>
      <w:r>
        <w:t xml:space="preserve"> </w:t>
      </w:r>
      <w:r>
        <w:t xml:space="preserve">Toyota's R&amp;D division deployed the tool for predictive maintenance algorithms, achieving 19% reduction in production downtime across Tokyo plants.</w:t>
      </w:r>
    </w:p>
    <w:p>
      <w:pPr>
        <w:numPr>
          <w:ilvl w:val="0"/>
          <w:numId w:val="1001"/>
        </w:numPr>
        <w:pStyle w:val="Compact"/>
      </w:pPr>
      <w:r>
        <w:rPr>
          <w:bCs/>
          <w:b/>
        </w:rPr>
        <w:t xml:space="preserve">Academia (15%):</w:t>
      </w:r>
      <w:r>
        <w:t xml:space="preserve"> </w:t>
      </w:r>
      <w:r>
        <w:t xml:space="preserve">University of Tokyo and Keio University secured enterprise licenses for quantum computing research, with "Mathematician" being the only solution meeting Japan's strict data sovereignty requirements.</w:t>
      </w:r>
    </w:p>
    <w:bookmarkEnd w:id="22"/>
    <w:bookmarkEnd w:id="23"/>
    <w:bookmarkStart w:id="26" w:name="iv.-tokyo-specific-success-drivers"/>
    <w:p>
      <w:pPr>
        <w:pStyle w:val="Heading2"/>
      </w:pPr>
      <w:r>
        <w:t xml:space="preserve">IV. Tokyo-Specific Success Drivers</w:t>
      </w:r>
    </w:p>
    <w:bookmarkStart w:id="24" w:name="a.-cultural-alignment-strategy"/>
    <w:p>
      <w:pPr>
        <w:pStyle w:val="Heading3"/>
      </w:pPr>
      <w:r>
        <w:t xml:space="preserve">A. Cultural Alignment Strategy</w:t>
      </w:r>
    </w:p>
    <w:p>
      <w:pPr>
        <w:pStyle w:val="FirstParagraph"/>
      </w:pPr>
      <w:r>
        <w:t xml:space="preserve">We re-engineered "Mathematician" to incorporate Japanese business practices:</w:t>
      </w:r>
    </w:p>
    <w:p>
      <w:pPr>
        <w:numPr>
          <w:ilvl w:val="0"/>
          <w:numId w:val="1002"/>
        </w:numPr>
        <w:pStyle w:val="Compact"/>
      </w:pPr>
      <w:r>
        <w:t xml:space="preserve">Added "Omotenashi" (anticipatory service) protocol for technical support, with 24/7 Japanese-speaking engineers available during Tokyo business hours (9:00-18:00 JST)</w:t>
      </w:r>
    </w:p>
    <w:p>
      <w:pPr>
        <w:numPr>
          <w:ilvl w:val="0"/>
          <w:numId w:val="1002"/>
        </w:numPr>
        <w:pStyle w:val="Compact"/>
      </w:pPr>
      <w:r>
        <w:t xml:space="preserve">Developed case studies featuring Tokyo-based success stories to resonate with local decision-makers</w:t>
      </w:r>
    </w:p>
    <w:p>
      <w:pPr>
        <w:numPr>
          <w:ilvl w:val="0"/>
          <w:numId w:val="1002"/>
        </w:numPr>
        <w:pStyle w:val="Compact"/>
      </w:pPr>
      <w:r>
        <w:t xml:space="preserve">Partnered with Kyoto University's Mathematics Department for joint research on "Mathematician" applications in Japanese industrial contexts</w:t>
      </w:r>
    </w:p>
    <w:bookmarkEnd w:id="24"/>
    <w:bookmarkStart w:id="25" w:name="b.-overcoming-market-barriers"/>
    <w:p>
      <w:pPr>
        <w:pStyle w:val="Heading3"/>
      </w:pPr>
      <w:r>
        <w:t xml:space="preserve">B. Overcoming Market Barriers</w:t>
      </w:r>
    </w:p>
    <w:p>
      <w:pPr>
        <w:pStyle w:val="FirstParagraph"/>
      </w:pPr>
      <w:r>
        <w:t xml:space="preserve">Tokyo's conservative procurement culture initially presented challenges. Our solution:</w:t>
      </w:r>
    </w:p>
    <w:p>
      <w:pPr>
        <w:numPr>
          <w:ilvl w:val="0"/>
          <w:numId w:val="1003"/>
        </w:numPr>
        <w:pStyle w:val="Compact"/>
      </w:pPr>
      <w:r>
        <w:t xml:space="preserve">Established a Tokyo-based compliance team certified in Japan's Personal Information Protection Law (PIPL)</w:t>
      </w:r>
    </w:p>
    <w:p>
      <w:pPr>
        <w:numPr>
          <w:ilvl w:val="0"/>
          <w:numId w:val="1003"/>
        </w:numPr>
        <w:pStyle w:val="Compact"/>
      </w:pPr>
      <w:r>
        <w:t xml:space="preserve">Offered free "Mathematician" workshops at Tokyo's Keio Business School, attracting 217 executives</w:t>
      </w:r>
    </w:p>
    <w:p>
      <w:pPr>
        <w:numPr>
          <w:ilvl w:val="0"/>
          <w:numId w:val="1003"/>
        </w:numPr>
        <w:pStyle w:val="Compact"/>
      </w:pPr>
      <w:r>
        <w:t xml:space="preserve">Introduced payment plans aligned with Japanese fiscal year-end (March) budget cycles</w:t>
      </w:r>
    </w:p>
    <w:bookmarkEnd w:id="25"/>
    <w:bookmarkEnd w:id="26"/>
    <w:bookmarkStart w:id="27" w:name="v.-customer-testimonials-tokyo-voices"/>
    <w:p>
      <w:pPr>
        <w:pStyle w:val="Heading2"/>
      </w:pPr>
      <w:r>
        <w:t xml:space="preserve">V. Customer Testimonials: Tokyo Voices</w:t>
      </w:r>
    </w:p>
    <w:p>
      <w:pPr>
        <w:pStyle w:val="BlockText"/>
      </w:pPr>
      <w:r>
        <w:t xml:space="preserve">"In Tokyo's high-stakes financial market, 'Mathematician' delivers the precision we need for millisecond-level decisions. Its ability to process JPY-denominated complex derivatives with zero rounding errors has become our competitive edge."</w:t>
      </w:r>
      <w:r>
        <w:br/>
      </w:r>
      <w:r>
        <w:rPr>
          <w:bCs/>
          <w:b/>
        </w:rPr>
        <w:t xml:space="preserve">- Kenji Tanaka, Chief Quantitative Strategist, Mitsubishi UFJ Securities</w:t>
      </w:r>
    </w:p>
    <w:p>
      <w:pPr>
        <w:pStyle w:val="BlockText"/>
      </w:pPr>
      <w:r>
        <w:t xml:space="preserve">"The 'Mathematician' team worked with us to localize the interface for Japanese technical terms like '確率微分方程式' (stochastic differential equations), eliminating training time. For Tokyo's R&amp;D centers, this cultural fluency is non-negotiable."</w:t>
      </w:r>
      <w:r>
        <w:br/>
      </w:r>
      <w:r>
        <w:rPr>
          <w:bCs/>
          <w:b/>
        </w:rPr>
        <w:t xml:space="preserve">- Dr. Aiko Sato, Director of AI Research, University of Tokyo</w:t>
      </w:r>
    </w:p>
    <w:bookmarkEnd w:id="27"/>
    <w:bookmarkStart w:id="28" w:name="vi.-challenges-strategic-response"/>
    <w:p>
      <w:pPr>
        <w:pStyle w:val="Heading2"/>
      </w:pPr>
      <w:r>
        <w:t xml:space="preserve">VI. Challenges &amp; Strategic Response</w:t>
      </w:r>
    </w:p>
    <w:p>
      <w:pPr>
        <w:pStyle w:val="FirstParagraph"/>
      </w:pPr>
      <w:r>
        <w:t xml:space="preserve">While success was significant, two challenges emerged in the Tokyo market:</w:t>
      </w:r>
    </w:p>
    <w:p>
      <w:pPr>
        <w:numPr>
          <w:ilvl w:val="0"/>
          <w:numId w:val="1004"/>
        </w:numPr>
        <w:pStyle w:val="Compact"/>
      </w:pPr>
      <w:r>
        <w:rPr>
          <w:bCs/>
          <w:b/>
        </w:rPr>
        <w:t xml:space="preserve">Legacy System Integration:</w:t>
      </w:r>
      <w:r>
        <w:t xml:space="preserve"> </w:t>
      </w:r>
      <w:r>
        <w:t xml:space="preserve">34% of prospects cited integration with existing Tokyo-based banking systems as a concern. Response: Developed "Mathematician-Tokyo Bridge" API toolkit co-created with Japan's Financial Services Agency, reducing integration time by 65%.</w:t>
      </w:r>
    </w:p>
    <w:p>
      <w:pPr>
        <w:numPr>
          <w:ilvl w:val="0"/>
          <w:numId w:val="1004"/>
        </w:numPr>
        <w:pStyle w:val="Compact"/>
      </w:pPr>
      <w:r>
        <w:rPr>
          <w:bCs/>
          <w:b/>
        </w:rPr>
        <w:t xml:space="preserve">Pricing Sensitivity:</w:t>
      </w:r>
      <w:r>
        <w:t xml:space="preserve"> </w:t>
      </w:r>
      <w:r>
        <w:t xml:space="preserve">Initial high-cost perception among mid-tier manufacturers. Response: Launched "Mathematician Lite" subscription at 42% lower entry price, capturing 18 new SME contracts in Tokyo's manufacturing cluster (Nagoya-Tokyo corridor).</w:t>
      </w:r>
    </w:p>
    <w:bookmarkEnd w:id="28"/>
    <w:bookmarkStart w:id="29" w:name="vii.-q4-growth-strategy-for-tokyo-market"/>
    <w:p>
      <w:pPr>
        <w:pStyle w:val="Heading2"/>
      </w:pPr>
      <w:r>
        <w:t xml:space="preserve">VII. Q4 Growth Strategy for Tokyo Market</w:t>
      </w:r>
    </w:p>
    <w:p>
      <w:pPr>
        <w:numPr>
          <w:ilvl w:val="0"/>
          <w:numId w:val="1005"/>
        </w:numPr>
        <w:pStyle w:val="Compact"/>
      </w:pPr>
      <w:r>
        <w:rPr>
          <w:bCs/>
          <w:b/>
        </w:rPr>
        <w:t xml:space="preserve">Government Partnership:</w:t>
      </w:r>
      <w:r>
        <w:t xml:space="preserve"> </w:t>
      </w:r>
      <w:r>
        <w:t xml:space="preserve">Targeting the Japanese Ministry of Economy, Trade and Industry's "Society 5.0" initiative with a specialized "Mathematician" package for public-sector AI projects.</w:t>
      </w:r>
    </w:p>
    <w:p>
      <w:pPr>
        <w:numPr>
          <w:ilvl w:val="0"/>
          <w:numId w:val="1005"/>
        </w:numPr>
        <w:pStyle w:val="Compact"/>
      </w:pPr>
      <w:r>
        <w:rPr>
          <w:bCs/>
          <w:b/>
        </w:rPr>
        <w:t xml:space="preserve">Tokyo Tech Summit Sponsorship:</w:t>
      </w:r>
      <w:r>
        <w:t xml:space="preserve"> </w:t>
      </w:r>
      <w:r>
        <w:t xml:space="preserve">Becoming title sponsor of the Tokyo International Mathematics &amp; AI Conference (November 15-17), targeting 500+ executives in financial/tech sectors.</w:t>
      </w:r>
    </w:p>
    <w:p>
      <w:pPr>
        <w:numPr>
          <w:ilvl w:val="0"/>
          <w:numId w:val="1005"/>
        </w:numPr>
        <w:pStyle w:val="Compact"/>
      </w:pPr>
      <w:r>
        <w:rPr>
          <w:bCs/>
          <w:b/>
        </w:rPr>
        <w:t xml:space="preserve">Localized Innovation Hub:</w:t>
      </w:r>
      <w:r>
        <w:t xml:space="preserve"> </w:t>
      </w:r>
      <w:r>
        <w:t xml:space="preserve">Establishing a dedicated R&amp;D team in Shibuya, Tokyo to develop features for Japan-specific use cases (e.g., earthquake prediction modeling for construction firms).</w:t>
      </w:r>
    </w:p>
    <w:bookmarkEnd w:id="29"/>
    <w:bookmarkStart w:id="30" w:name="X4e108221e7bb9d8b90eba5c3596c6e9f07edc63"/>
    <w:p>
      <w:pPr>
        <w:pStyle w:val="Heading2"/>
      </w:pPr>
      <w:r>
        <w:t xml:space="preserve">VIII. Financial Projection: Tokyo Market (FY2024)</w:t>
      </w:r>
    </w:p>
    <w:p>
      <w:pPr>
        <w:pStyle w:val="FirstParagraph"/>
      </w:pPr>
      <w:r>
        <w:t xml:space="preserve">Based on Q3 momentum and strategic initiatives:</w:t>
      </w:r>
    </w:p>
    <w:p>
      <w:pPr>
        <w:numPr>
          <w:ilvl w:val="0"/>
          <w:numId w:val="1006"/>
        </w:numPr>
        <w:pStyle w:val="Compact"/>
      </w:pPr>
      <w:r>
        <w:t xml:space="preserve">Full-year sales revenue projection: ¥1,850,000,000 (+113% YoY)</w:t>
      </w:r>
    </w:p>
    <w:p>
      <w:pPr>
        <w:numPr>
          <w:ilvl w:val="0"/>
          <w:numId w:val="1006"/>
        </w:numPr>
        <w:pStyle w:val="Compact"/>
      </w:pPr>
      <w:r>
        <w:t xml:space="preserve">Target market share in Tokyo enterprise math software: 45.2%</w:t>
      </w:r>
    </w:p>
    <w:p>
      <w:pPr>
        <w:numPr>
          <w:ilvl w:val="0"/>
          <w:numId w:val="1006"/>
        </w:numPr>
        <w:pStyle w:val="Compact"/>
      </w:pPr>
      <w:r>
        <w:t xml:space="preserve">New revenue streams from government contracts: ¥325M (estimated)</w:t>
      </w:r>
    </w:p>
    <w:bookmarkEnd w:id="30"/>
    <w:bookmarkStart w:id="31" w:name="ix.-conclusion"/>
    <w:p>
      <w:pPr>
        <w:pStyle w:val="Heading2"/>
      </w:pPr>
      <w:r>
        <w:t xml:space="preserve">IX. Conclusion</w:t>
      </w:r>
    </w:p>
    <w:p>
      <w:pPr>
        <w:pStyle w:val="FirstParagraph"/>
      </w:pPr>
      <w:r>
        <w:t xml:space="preserve">The "Mathematician" product has transcended its status as a technical tool to become a strategic asset for Tokyo's business ecosystem. Its success in Japan—particularly the capital city—demonstrates that technology solutions must deeply integrate with local operational rhythms, regulatory frameworks, and cultural expectations. As Tokyo continues to lead Japan's AI-driven economic transformation, "Mathematician" is positioned not merely as a sales success but as an indispensable partner for mathematical excellence in the world's most sophisticated financial and technological marketplace. The Tokyo office has proven that when technology respects local context—rather than imposing foreign standards—it achieves transformative results.</w:t>
      </w:r>
    </w:p>
    <w:p>
      <w:pPr>
        <w:pStyle w:val="BodyText"/>
      </w:pPr>
      <w:r>
        <w:rPr>
          <w:iCs/>
          <w:i/>
        </w:rPr>
        <w:t xml:space="preserve">"In Tokyo, mathematics isn't just calculation; it's the language of precision that builds tomorrow's economy. 'Mathematician' speaks that language fluently."</w:t>
      </w:r>
      <w:r>
        <w:t xml:space="preserve"> </w:t>
      </w:r>
      <w:r>
        <w:t xml:space="preserve">- Hiroshi Kobayashi, Managing Director, East Asia Sales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 Tokyo Market</dc:title>
  <dc:creator/>
  <dc:language>en</dc:language>
  <cp:keywords/>
  <dcterms:created xsi:type="dcterms:W3CDTF">2026-07-23T11:09:28Z</dcterms:created>
  <dcterms:modified xsi:type="dcterms:W3CDTF">2026-07-23T11:09:28Z</dcterms:modified>
</cp:coreProperties>
</file>

<file path=docProps/custom.xml><?xml version="1.0" encoding="utf-8"?>
<Properties xmlns="http://schemas.openxmlformats.org/officeDocument/2006/custom-properties" xmlns:vt="http://schemas.openxmlformats.org/officeDocument/2006/docPropsVTypes"/>
</file>