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Nairobi</w:t>
      </w:r>
      <w:r>
        <w:t xml:space="preserve"> </w:t>
      </w:r>
      <w:r>
        <w:t xml:space="preserve">Market</w:t>
      </w:r>
      <w:r>
        <w:t xml:space="preserve"> </w:t>
      </w:r>
      <w:r>
        <w:t xml:space="preserve">Performance</w:t>
      </w:r>
    </w:p>
    <w:bookmarkStart w:id="28" w:name="X3b4458b5742e3fcd5462c66a7c6a4e924e0b688"/>
    <w:p>
      <w:pPr>
        <w:pStyle w:val="Heading1"/>
      </w:pPr>
      <w:r>
        <w:t xml:space="preserve">Comprehensive Sales Report: Mathematician Product in Kenya Nairobi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flagship educational technology product, "Mathematician," in the Nairobi market during Q3 2023. The report confirms exceptional traction across Kenyan educational institutions and corporate training programs, with a 147% year-over-year sales growth. Nairobi emerged as our most significant urban market in East Africa, accounting for 68% of total Kenya revenue. The Mathematician platform—designed to transform mathematics education through AI-driven personalized learning—has become the preferred solution for over 210 schools and universities in Nairobi, including prestigious institutions like Kenyatta University and Strathmore Business School.</w:t>
      </w:r>
    </w:p>
    <w:bookmarkEnd w:id="20"/>
    <w:bookmarkStart w:id="21" w:name="ii.-nairobi-market-context"/>
    <w:p>
      <w:pPr>
        <w:pStyle w:val="Heading2"/>
      </w:pPr>
      <w:r>
        <w:t xml:space="preserve">II. Nairobi Market Context</w:t>
      </w:r>
    </w:p>
    <w:p>
      <w:pPr>
        <w:pStyle w:val="FirstParagraph"/>
      </w:pPr>
      <w:r>
        <w:t xml:space="preserve">The Nairobi educational landscape presents unique opportunities driven by Kenya's Vision 2030 education goals. With 87% of secondary schools in the capital region now requiring digital learning tools, the demand for innovative mathematics solutions has surged. Our market research indicates that Nairobi educators spend KES 12.4 billion annually on STEM resources—creating a massive addressable market for the Mathematician platform.</w:t>
      </w:r>
    </w:p>
    <w:p>
      <w:pPr>
        <w:pStyle w:val="BodyText"/>
      </w:pPr>
      <w:r>
        <w:t xml:space="preserve">Crucially, Nairobi's tech-savvy youth population (68% aged 15-30) has accelerated adoption of digital learning tools. The city's dense concentration of international schools, private colleges, and government-funded STEM initiatives positions it as the perfect proving ground for our Mathematician solution. Unlike rural Kenya where infrastructure challenges persist, Nairobi offers high smartphone penetration (92%) and reliable mobile data networks—ideal for our cloud-based platform.</w:t>
      </w:r>
    </w:p>
    <w:bookmarkEnd w:id="21"/>
    <w:bookmarkStart w:id="22" w:name="iii.-sales-performance-highlights"/>
    <w:p>
      <w:pPr>
        <w:pStyle w:val="Heading2"/>
      </w:pPr>
      <w:r>
        <w:t xml:space="preserve">III. Sales Performance Highlights</w:t>
      </w:r>
    </w:p>
    <w:p>
      <w:pPr>
        <w:pStyle w:val="FirstParagraph"/>
      </w:pPr>
      <w:r>
        <w:t xml:space="preserve">Product Tier</w:t>
      </w:r>
    </w:p>
    <w:p>
      <w:pPr>
        <w:pStyle w:val="BodyText"/>
      </w:pPr>
      <w:r>
        <w:t xml:space="preserve">Nairobi Units Sold</w:t>
      </w:r>
    </w:p>
    <w:p>
      <w:pPr>
        <w:pStyle w:val="BodyText"/>
      </w:pPr>
      <w:r>
        <w:t xml:space="preserve">Revenue (KES)</w:t>
      </w:r>
    </w:p>
    <w:p>
      <w:pPr>
        <w:pStyle w:val="BodyText"/>
      </w:pPr>
      <w:r>
        <w:t xml:space="preserve">Growth vs Q2</w:t>
      </w:r>
    </w:p>
    <w:p>
      <w:pPr>
        <w:pStyle w:val="BodyText"/>
      </w:pPr>
      <w:r>
        <w:t xml:space="preserve">Basic School License</w:t>
      </w:r>
    </w:p>
    <w:p>
      <w:pPr>
        <w:pStyle w:val="BodyText"/>
      </w:pPr>
      <w:r>
        <w:t xml:space="preserve">142</w:t>
      </w:r>
    </w:p>
    <w:p>
      <w:pPr>
        <w:pStyle w:val="BodyText"/>
      </w:pPr>
      <w:r>
        <w:t xml:space="preserve">3,875,000</w:t>
      </w:r>
    </w:p>
    <w:p>
      <w:pPr>
        <w:pStyle w:val="BodyText"/>
      </w:pPr>
      <w:r>
        <w:t xml:space="preserve">+18%</w:t>
      </w:r>
    </w:p>
    <w:p>
      <w:pPr>
        <w:pStyle w:val="BodyText"/>
      </w:pPr>
      <w:r>
        <w:t xml:space="preserve">Premium University License</w:t>
      </w:r>
    </w:p>
    <w:p>
      <w:pPr>
        <w:pStyle w:val="BodyText"/>
      </w:pPr>
      <w:r>
        <w:t xml:space="preserve">47</w:t>
      </w:r>
    </w:p>
    <w:p>
      <w:pPr>
        <w:pStyle w:val="BodyText"/>
      </w:pPr>
      <w:r>
        <w:t xml:space="preserve">&lt;</w:t>
      </w:r>
    </w:p>
    <w:p>
      <w:pPr>
        <w:pStyle w:val="BodyText"/>
      </w:pPr>
      <w:r>
        <w:t xml:space="preserve">8,925,000</w:t>
      </w:r>
    </w:p>
    <w:p>
      <w:pPr>
        <w:pStyle w:val="BodyText"/>
      </w:pPr>
      <w:r>
        <w:t xml:space="preserve">&lt;</w:t>
      </w:r>
    </w:p>
    <w:p>
      <w:pPr>
        <w:pStyle w:val="BodyText"/>
      </w:pPr>
      <w:r>
        <w:t xml:space="preserve">+34%</w:t>
      </w:r>
    </w:p>
    <w:p>
      <w:pPr>
        <w:pStyle w:val="BodyText"/>
      </w:pPr>
      <w:r>
        <w:t xml:space="preserve">CORPORATE Training Package</w:t>
      </w:r>
    </w:p>
    <w:p>
      <w:pPr>
        <w:pStyle w:val="BodyText"/>
      </w:pPr>
      <w:r>
        <w:t xml:space="preserve">19</w:t>
      </w:r>
    </w:p>
    <w:p>
      <w:pPr>
        <w:pStyle w:val="BodyText"/>
      </w:pPr>
      <w:r>
        <w:t xml:space="preserve">&lt;</w:t>
      </w:r>
    </w:p>
    <w:p>
      <w:pPr>
        <w:pStyle w:val="BodyText"/>
      </w:pPr>
      <w:r>
        <w:t xml:space="preserve">6,240,000</w:t>
      </w:r>
    </w:p>
    <w:p>
      <w:pPr>
        <w:pStyle w:val="BodyText"/>
      </w:pPr>
      <w:r>
        <w:t xml:space="preserve">+63%</w:t>
      </w:r>
    </w:p>
    <w:p>
      <w:pPr>
        <w:pStyle w:val="BodyText"/>
      </w:pPr>
      <w:r>
        <w:t xml:space="preserve">TOTAL</w:t>
      </w:r>
    </w:p>
    <w:p>
      <w:pPr>
        <w:pStyle w:val="BodyText"/>
      </w:pPr>
      <w:r>
        <w:t xml:space="preserve">208</w:t>
      </w:r>
    </w:p>
    <w:p>
      <w:pPr>
        <w:pStyle w:val="BodyText"/>
      </w:pPr>
      <w:r>
        <w:t xml:space="preserve">19,040,000</w:t>
      </w:r>
    </w:p>
    <w:p>
      <w:pPr>
        <w:pStyle w:val="BodyText"/>
      </w:pPr>
      <w:r>
        <w:t xml:space="preserve">+37%</w:t>
      </w:r>
    </w:p>
    <w:p>
      <w:pPr>
        <w:pStyle w:val="BodyText"/>
      </w:pPr>
      <w:r>
        <w:t xml:space="preserve">The 37% quarter-on-quarter growth in Nairobi sales significantly outperforms our regional average (22%). Notably, the Corporate Training Package saw explosive growth (+63%) as Nairobi-based multinationals like Safaricom and Equity Bank implemented Mathematician for employee data analytics training—directly addressing Kenya's national skills gap in quantitative fields.</w:t>
      </w:r>
    </w:p>
    <w:bookmarkEnd w:id="22"/>
    <w:bookmarkStart w:id="23" w:name="iv.-customer-success-stories"/>
    <w:p>
      <w:pPr>
        <w:pStyle w:val="Heading2"/>
      </w:pPr>
      <w:r>
        <w:t xml:space="preserve">IV. Customer Success Stories</w:t>
      </w:r>
    </w:p>
    <w:p>
      <w:pPr>
        <w:pStyle w:val="FirstParagraph"/>
      </w:pPr>
      <w:r>
        <w:rPr>
          <w:bCs/>
          <w:b/>
        </w:rPr>
        <w:t xml:space="preserve">Case Study 1: Nairobi Teachers Service Commission (TSC)</w:t>
      </w:r>
    </w:p>
    <w:p>
      <w:pPr>
        <w:pStyle w:val="BodyText"/>
      </w:pPr>
      <w:r>
        <w:t xml:space="preserve">The TSC deployed Mathematician across 48 public schools in Nairobi County, targeting Grade 9 mathematics improvement. Within six months, student pass rates increased by 32%—exceeding the national average of 18%. "Mathematician's adaptive learning paths identified each child's weak areas instantly," reported Ms. Amina Juma, Director of Curriculum Development for TSC. "This is transforming how we approach foundational mathematics in Nairobi."</w:t>
      </w:r>
    </w:p>
    <w:p>
      <w:pPr>
        <w:pStyle w:val="BodyText"/>
      </w:pPr>
      <w:r>
        <w:rPr>
          <w:bCs/>
          <w:b/>
        </w:rPr>
        <w:t xml:space="preserve">Case Study 2: K-Rep Bank</w:t>
      </w:r>
    </w:p>
    <w:p>
      <w:pPr>
        <w:pStyle w:val="BodyText"/>
      </w:pPr>
      <w:r>
        <w:t xml:space="preserve">This Nairobi-headquartered financial institution integrated Mathematician into its graduate analyst program. The bank reported a 50% reduction in training time for quantitative roles, with trainees demonstrating 40% higher proficiency in financial modeling compared to previous cohorts. "Mathematician has become our standard onboarding tool," stated Mr. David Owino, Chief Learning Officer at K-Rep Bank.</w:t>
      </w:r>
    </w:p>
    <w:bookmarkEnd w:id="23"/>
    <w:bookmarkStart w:id="24" w:name="X94645df7a8f1e0c373a0f45f42d0f93b9b2dc42"/>
    <w:p>
      <w:pPr>
        <w:pStyle w:val="Heading2"/>
      </w:pPr>
      <w:r>
        <w:t xml:space="preserve">V. Nairobi-Specific Market Challenges &amp; Solutions</w:t>
      </w:r>
    </w:p>
    <w:p>
      <w:pPr>
        <w:pStyle w:val="FirstParagraph"/>
      </w:pPr>
      <w:r>
        <w:t xml:space="preserve">Our field team identified two critical challenges unique to the Kenya Nairobi market:</w:t>
      </w:r>
    </w:p>
    <w:p>
      <w:pPr>
        <w:numPr>
          <w:ilvl w:val="0"/>
          <w:numId w:val="1001"/>
        </w:numPr>
        <w:pStyle w:val="Compact"/>
      </w:pPr>
      <w:r>
        <w:rPr>
          <w:bCs/>
          <w:b/>
        </w:rPr>
        <w:t xml:space="preserve">Payment Processing Friction:</w:t>
      </w:r>
      <w:r>
        <w:t xml:space="preserve"> </w:t>
      </w:r>
      <w:r>
        <w:t xml:space="preserve">Initial sales were slowed by complex mobile money integrations. Solution: Partnered with M-Pesa and Safaricom to create a streamlined "Mathematician Pay" system, reducing payment processing time from 14 days to 48 hours.</w:t>
      </w:r>
    </w:p>
    <w:p>
      <w:pPr>
        <w:numPr>
          <w:ilvl w:val="0"/>
          <w:numId w:val="1001"/>
        </w:numPr>
        <w:pStyle w:val="Compact"/>
      </w:pPr>
      <w:r>
        <w:rPr>
          <w:bCs/>
          <w:b/>
        </w:rPr>
        <w:t xml:space="preserve">Cultural Adaptation Needs:</w:t>
      </w:r>
      <w:r>
        <w:t xml:space="preserve"> </w:t>
      </w:r>
      <w:r>
        <w:t xml:space="preserve">Localized content was essential for relevance. Solution: Hired Nairobi-based mathematics educators to develop Kenyan curriculum-aligned problem sets (e.g., using local economic scenarios in algebra exercises).</w:t>
      </w:r>
    </w:p>
    <w:p>
      <w:pPr>
        <w:pStyle w:val="FirstParagraph"/>
      </w:pPr>
      <w:r>
        <w:t xml:space="preserve">These adaptations directly contributed to our 87% customer retention rate in Nairobi—well above the industry average of 62%.</w:t>
      </w:r>
    </w:p>
    <w:bookmarkEnd w:id="24"/>
    <w:bookmarkStart w:id="25" w:name="vi.-competitive-landscape-analysis"/>
    <w:p>
      <w:pPr>
        <w:pStyle w:val="Heading2"/>
      </w:pPr>
      <w:r>
        <w:t xml:space="preserve">VI. Competitive Landscape Analysis</w:t>
      </w:r>
    </w:p>
    <w:p>
      <w:pPr>
        <w:pStyle w:val="FirstParagraph"/>
      </w:pPr>
      <w:r>
        <w:t xml:space="preserve">In the Nairobi market, we face competition from local edtech startups and global platforms like Khan Academy. However, Mathematician's distinct advantage lies in its Kenya-specific features:</w:t>
      </w:r>
    </w:p>
    <w:p>
      <w:pPr>
        <w:numPr>
          <w:ilvl w:val="0"/>
          <w:numId w:val="1002"/>
        </w:numPr>
        <w:pStyle w:val="Compact"/>
      </w:pPr>
      <w:r>
        <w:t xml:space="preserve">Offline functionality for schools with intermittent internet</w:t>
      </w:r>
    </w:p>
    <w:p>
      <w:pPr>
        <w:numPr>
          <w:ilvl w:val="0"/>
          <w:numId w:val="1002"/>
        </w:numPr>
        <w:pStyle w:val="Compact"/>
      </w:pPr>
      <w:r>
        <w:t xml:space="preserve">Swahili-language interface options for teacher training</w:t>
      </w:r>
    </w:p>
    <w:p>
      <w:pPr>
        <w:numPr>
          <w:ilvl w:val="0"/>
          <w:numId w:val="1002"/>
        </w:numPr>
        <w:pStyle w:val="Compact"/>
      </w:pPr>
      <w:r>
        <w:t xml:space="preserve">Pricing structured around Kenyan school budget cycles (e.g., term-based payments)</w:t>
      </w:r>
    </w:p>
    <w:p>
      <w:pPr>
        <w:pStyle w:val="FirstParagraph"/>
      </w:pPr>
      <w:r>
        <w:t xml:space="preserve">A recent market share analysis shows Mathematician now commands 41% of the Nairobi digital mathematics education space—up from 23% in Q1 2023. This growth was driven by our strategic partnership with the Kenya National Examinations Council (KNEC) to align content with national syllabi.</w:t>
      </w:r>
    </w:p>
    <w:bookmarkEnd w:id="25"/>
    <w:bookmarkStart w:id="26" w:name="X8d9676fe9ce993095c2c114152c0bbdd6cc0a8f"/>
    <w:p>
      <w:pPr>
        <w:pStyle w:val="Heading2"/>
      </w:pPr>
      <w:r>
        <w:t xml:space="preserve">VII. Strategic Recommendations for Nairobi Expansion</w:t>
      </w:r>
    </w:p>
    <w:p>
      <w:pPr>
        <w:pStyle w:val="FirstParagraph"/>
      </w:pPr>
      <w:r>
        <w:t xml:space="preserve">Based on Q3 performance, we propose three targeted initiatives for the Nairobi market:</w:t>
      </w:r>
    </w:p>
    <w:p>
      <w:pPr>
        <w:numPr>
          <w:ilvl w:val="0"/>
          <w:numId w:val="1003"/>
        </w:numPr>
        <w:pStyle w:val="Compact"/>
      </w:pPr>
      <w:r>
        <w:rPr>
          <w:bCs/>
          <w:b/>
        </w:rPr>
        <w:t xml:space="preserve">Government Partnership Program:</w:t>
      </w:r>
      <w:r>
        <w:t xml:space="preserve"> </w:t>
      </w:r>
      <w:r>
        <w:t xml:space="preserve">Leverage KNEC's endorsement to secure district-wide school contracts in Nairobi County, targeting 500+ schools by Q2 2024.</w:t>
      </w:r>
    </w:p>
    <w:p>
      <w:pPr>
        <w:numPr>
          <w:ilvl w:val="0"/>
          <w:numId w:val="1003"/>
        </w:numPr>
        <w:pStyle w:val="Compact"/>
      </w:pPr>
      <w:r>
        <w:rPr>
          <w:bCs/>
          <w:b/>
        </w:rPr>
        <w:t xml:space="preserve">Nairobi Innovation Hub:</w:t>
      </w:r>
      <w:r>
        <w:t xml:space="preserve"> </w:t>
      </w:r>
      <w:r>
        <w:t xml:space="preserve">Establish a physical office in the iHub ecosystem for on-ground support, reducing response time to client issues from 72 hours to under 18 hours.</w:t>
      </w:r>
    </w:p>
    <w:p>
      <w:pPr>
        <w:numPr>
          <w:ilvl w:val="0"/>
          <w:numId w:val="1003"/>
        </w:numPr>
        <w:pStyle w:val="Compact"/>
      </w:pPr>
      <w:r>
        <w:rPr>
          <w:bCs/>
          <w:b/>
        </w:rPr>
        <w:t xml:space="preserve">Scholarship Initiative:</w:t>
      </w:r>
      <w:r>
        <w:t xml:space="preserve"> </w:t>
      </w:r>
      <w:r>
        <w:t xml:space="preserve">Launch "Mathematician Bright Futures" program offering free access to low-income schools in Nairobi slums (Kibera, Mathare), building brand equity while addressing social impact goals.</w:t>
      </w:r>
    </w:p>
    <w:bookmarkEnd w:id="26"/>
    <w:bookmarkStart w:id="27" w:name="viii.-conclusion"/>
    <w:p>
      <w:pPr>
        <w:pStyle w:val="Heading2"/>
      </w:pPr>
      <w:r>
        <w:t xml:space="preserve">VIII. Conclusion</w:t>
      </w:r>
    </w:p>
    <w:p>
      <w:pPr>
        <w:pStyle w:val="FirstParagraph"/>
      </w:pPr>
      <w:r>
        <w:t xml:space="preserve">The Mathematician Sales Report confirms Nairobi as the cornerstone of our Kenya strategy. Our platform has transcended being merely a sales product—it has become an educational catalyst within Kenya's most dynamic city. The 147% YoY revenue growth and strategic partnerships with Nairobi's education leaders demonstrate that our solution resonates deeply with local needs.</w:t>
      </w:r>
    </w:p>
    <w:p>
      <w:pPr>
        <w:pStyle w:val="BodyText"/>
      </w:pPr>
      <w:r>
        <w:t xml:space="preserve">As we look ahead, the Nairobi market will remain our top priority. We recommend allocating 60% of all Kenya marketing resources to this metropolitan hub in Q4 2023, capitalizing on the momentum generated during Q3. The Mathematician platform isn't just selling well in Nairobi—it's reshaping mathematics education across Kenya. With our local team's deep understanding of Nairobi's educational ecosystem and our product's proven impact, we project Nairobi sales to reach KES 28 million by December 2023—setting a new benchmark for educational technology adoption in East Africa.</w:t>
      </w:r>
    </w:p>
    <w:p>
      <w:pPr>
        <w:pStyle w:val="BodyText"/>
      </w:pPr>
      <w:r>
        <w:rPr>
          <w:iCs/>
          <w:i/>
        </w:rPr>
        <w:t xml:space="preserve">Prepared by: Sales Strategy Department | Mathematician Education Solutions</w:t>
      </w:r>
      <w:r>
        <w:br/>
      </w:r>
      <w:r>
        <w:rPr>
          <w:iCs/>
          <w:i/>
        </w:rPr>
        <w:t xml:space="preserve">Verified by: Kenya Regional Office,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Nairobi Market Performance</dc:title>
  <dc:creator/>
  <dc:language>en</dc:language>
  <cp:keywords/>
  <dcterms:created xsi:type="dcterms:W3CDTF">2026-07-23T10:31:40Z</dcterms:created>
  <dcterms:modified xsi:type="dcterms:W3CDTF">2026-07-23T10:31:40Z</dcterms:modified>
</cp:coreProperties>
</file>

<file path=docProps/custom.xml><?xml version="1.0" encoding="utf-8"?>
<Properties xmlns="http://schemas.openxmlformats.org/officeDocument/2006/custom-properties" xmlns:vt="http://schemas.openxmlformats.org/officeDocument/2006/docPropsVTypes"/>
</file>