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Kuala</w:t>
      </w:r>
      <w:r>
        <w:t xml:space="preserve"> </w:t>
      </w:r>
      <w:r>
        <w:t xml:space="preserve">Lumpur</w:t>
      </w:r>
      <w:r>
        <w:t xml:space="preserve"> </w:t>
      </w:r>
      <w:r>
        <w:t xml:space="preserve">Malaysia</w:t>
      </w:r>
      <w:r>
        <w:t xml:space="preserve"> </w:t>
      </w:r>
      <w:r>
        <w:t xml:space="preserve">Market</w:t>
      </w:r>
    </w:p>
    <w:bookmarkStart w:id="31" w:name="X72b2a6bfbe5145210ec2cd81b505d3487d0e890"/>
    <w:p>
      <w:pPr>
        <w:pStyle w:val="Heading1"/>
      </w:pPr>
      <w:r>
        <w:t xml:space="preserve">Mathematician Sales Performance Report: Kuala Lumpur Malaysia Market (Q3-Q4 2023)</w:t>
      </w:r>
    </w:p>
    <w:bookmarkStart w:id="20" w:name="executive-summary"/>
    <w:p>
      <w:pPr>
        <w:pStyle w:val="Heading2"/>
      </w:pPr>
      <w:r>
        <w:t xml:space="preserve">Executive Summary</w:t>
      </w:r>
    </w:p>
    <w:p>
      <w:pPr>
        <w:pStyle w:val="FirstParagraph"/>
      </w:pPr>
      <w:r>
        <w:t xml:space="preserve">This comprehensive Sales Report details the performance of our flagship product, Mathematician, within the dynamic educational and corporate landscape of Malaysia Kuala Lumpur. The report analyzes sales metrics, market penetration strategies, and growth opportunities across key verticals including K-12 education institutions, tertiary universities, and enterprise analytics divisions. Despite regional economic fluctuations in Southeast Asia's technology sector during Q3-Q4 2023, Mathematician demonstrated robust traction in Kuala Lumpur with a 37% year-over-year revenue increase. This success underscores the product's alignment with Malaysia's National Digital Economy Policy and its strategic importance in elevating mathematical proficiency across the nation.</w:t>
      </w:r>
    </w:p>
    <w:p>
      <w:pPr>
        <w:pStyle w:val="BodyText"/>
      </w:pPr>
      <w:r>
        <w:t xml:space="preserve">Mathematician achieved RM 4.2 million in sales within Kuala Lumpur, representing 68% of total Malaysia revenue and surpassing Q3-Q4 targets by 18.7%.</w:t>
      </w:r>
    </w:p>
    <w:bookmarkEnd w:id="20"/>
    <w:bookmarkStart w:id="21" w:name="Xe3bc2bf21660ce23d06ebb485bee997779af99f"/>
    <w:p>
      <w:pPr>
        <w:pStyle w:val="Heading2"/>
      </w:pPr>
      <w:r>
        <w:t xml:space="preserve">Market Context: Mathematician in Malaysia Kuala Lumpur</w:t>
      </w:r>
    </w:p>
    <w:p>
      <w:pPr>
        <w:pStyle w:val="FirstParagraph"/>
      </w:pPr>
      <w:r>
        <w:t xml:space="preserve">Kuala Lumpur serves as the epicenter of Malaysia's digital transformation, where the government's MyDIGITAL initiative prioritizes STEM education and data-driven decision-making. The Ministry of Education's recent "Mathematics 4.0" framework has created unprecedented demand for advanced mathematical learning solutions, making Kuala Lumpur an ideal launchpad for Mathematician. Our product—comprising AI-powered adaptive learning modules, enterprise analytics dashboards, and collaborative problem-solving environments—addresses critical gaps in both academic curricula and corporate data literacy initiatives across the region.</w:t>
      </w:r>
    </w:p>
    <w:p>
      <w:pPr>
        <w:pStyle w:val="BodyText"/>
      </w:pPr>
      <w:r>
        <w:t xml:space="preserve">Market research conducted through our Kuala Lumpur-based partner network (including EduTech Malaysia and KL Digital Hub) revealed that 73% of educational institutions surveyed seek tools to personalize mathematics instruction, while 62% of corporations require analytics solutions to improve operational efficiency. Mathematician's unique value proposition—combining pedagogical rigor with enterprise-grade data processing—has positioned it as the preferred solution in this high-growth segment.</w:t>
      </w:r>
    </w:p>
    <w:bookmarkEnd w:id="21"/>
    <w:bookmarkStart w:id="23" w:name="X0706afcd2b887184c16f6a82750b1fbb6970e60"/>
    <w:p>
      <w:pPr>
        <w:pStyle w:val="Heading2"/>
      </w:pPr>
      <w:r>
        <w:t xml:space="preserve">Sales Performance Breakdown: Kuala Lumpur Focus</w:t>
      </w:r>
    </w:p>
    <w:bookmarkStart w:id="22" w:name="revenue-growth-by-segment-q3-q4-2023"/>
    <w:p>
      <w:pPr>
        <w:pStyle w:val="Heading3"/>
      </w:pPr>
      <w:r>
        <w:t xml:space="preserve">Revenue Growth by Segment (Q3-Q4 2023)</w:t>
      </w:r>
    </w:p>
    <w:p>
      <w:pPr>
        <w:pStyle w:val="FirstParagraph"/>
      </w:pPr>
      <w:r>
        <w:t xml:space="preserve">Segment</w:t>
      </w:r>
    </w:p>
    <w:bookmarkEnd w:id="22"/>
    <w:bookmarkEnd w:id="23"/>
    <w:p>
      <w:pPr>
        <w:pStyle w:val="BodyText"/>
      </w:pPr>
      <w:r>
        <w:t xml:space="preserve">Q3 Revenue (RM)</w:t>
      </w:r>
    </w:p>
    <w:p>
      <w:pPr>
        <w:pStyle w:val="BodyText"/>
      </w:pPr>
      <w:r>
        <w:t xml:space="preserve">Q4 Revenue (RM)</w:t>
      </w:r>
    </w:p>
    <w:p>
      <w:pPr>
        <w:pStyle w:val="BodyText"/>
      </w:pPr>
      <w:r>
        <w:t xml:space="preserve">YoY Growth</w:t>
      </w:r>
    </w:p>
    <w:p>
      <w:pPr>
        <w:pStyle w:val="BodyText"/>
      </w:pPr>
      <w:r>
        <w:t xml:space="preserve">K-12 Schools &amp; Colleges</w:t>
      </w:r>
    </w:p>
    <w:p>
      <w:pPr>
        <w:pStyle w:val="BodyText"/>
      </w:pPr>
      <w:r>
        <w:t xml:space="preserve">1,050,000</w:t>
      </w:r>
    </w:p>
    <w:p>
      <w:pPr>
        <w:pStyle w:val="BodyText"/>
      </w:pPr>
      <w:r>
        <w:t xml:space="preserve">1,425,000</w:t>
      </w:r>
    </w:p>
    <w:p>
      <w:pPr>
        <w:pStyle w:val="BodyText"/>
      </w:pPr>
      <w:r>
        <w:t xml:space="preserve">48%</w:t>
      </w:r>
    </w:p>
    <w:p>
      <w:pPr>
        <w:pStyle w:val="BodyText"/>
      </w:pPr>
      <w:r>
        <w:t xml:space="preserve">Universities (UPM, UTM)</w:t>
      </w:r>
    </w:p>
    <w:p>
      <w:pPr>
        <w:pStyle w:val="BodyText"/>
      </w:pPr>
      <w:r>
        <w:t xml:space="preserve">982,500</w:t>
      </w:r>
    </w:p>
    <w:p>
      <w:pPr>
        <w:pStyle w:val="BodyText"/>
      </w:pPr>
      <w:r>
        <w:t xml:space="preserve">&lt;</w:t>
      </w:r>
    </w:p>
    <w:p>
      <w:pPr>
        <w:pStyle w:val="BodyText"/>
      </w:pPr>
      <w:r>
        <w:t xml:space="preserve">1,367,800</w:t>
      </w:r>
    </w:p>
    <w:p>
      <w:pPr>
        <w:pStyle w:val="BodyText"/>
      </w:pPr>
      <w:r>
        <w:t xml:space="preserve">52%</w:t>
      </w:r>
    </w:p>
    <w:p>
      <w:pPr>
        <w:pStyle w:val="BodyText"/>
      </w:pPr>
      <w:r>
        <w:t xml:space="preserve">Corporate Clients (Banking &amp; Tech)</w:t>
      </w:r>
    </w:p>
    <w:p>
      <w:pPr>
        <w:pStyle w:val="BodyText"/>
      </w:pPr>
      <w:r>
        <w:t xml:space="preserve">765,400</w:t>
      </w:r>
    </w:p>
    <w:p>
      <w:pPr>
        <w:pStyle w:val="BodyText"/>
      </w:pPr>
      <w:r>
        <w:t xml:space="preserve">&lt;</w:t>
      </w:r>
    </w:p>
    <w:p>
      <w:pPr>
        <w:pStyle w:val="BodyText"/>
      </w:pPr>
      <w:r>
        <w:t xml:space="preserve">1,123,900</w:t>
      </w:r>
    </w:p>
    <w:p>
      <w:pPr>
        <w:pStyle w:val="BodyText"/>
      </w:pPr>
      <w:r>
        <w:t xml:space="preserve">38%</w:t>
      </w:r>
    </w:p>
    <w:p>
      <w:pPr>
        <w:pStyle w:val="BodyText"/>
      </w:pPr>
      <w:r>
        <w:t xml:space="preserve">Total Kuala Lumpur Sales</w:t>
      </w:r>
    </w:p>
    <w:p>
      <w:pPr>
        <w:pStyle w:val="BodyText"/>
      </w:pPr>
      <w:r>
        <w:t xml:space="preserve">2,797,900</w:t>
      </w:r>
    </w:p>
    <w:p>
      <w:pPr>
        <w:pStyle w:val="BodyText"/>
      </w:pPr>
      <w:r>
        <w:t xml:space="preserve">3,916,700</w:t>
      </w:r>
    </w:p>
    <w:p>
      <w:pPr>
        <w:pStyle w:val="BodyText"/>
      </w:pPr>
      <w:r>
        <w:t xml:space="preserve">37%</w:t>
      </w:r>
    </w:p>
    <w:p>
      <w:pPr>
        <w:pStyle w:val="BodyText"/>
      </w:pPr>
      <w:r>
        <w:t xml:space="preserve">The 28% growth in corporate sales (Q4 vs Q3) directly correlates with the expansion of Mathematician's enterprise analytics suite. Key wins include a RM 1.2 million contract with CIMB Bank for risk-modeling training and a strategic partnership with Intel Malaysia to integrate Mathematician into their STEM education outreach programs across 150 schools in Kuala Lumpur.</w:t>
      </w:r>
    </w:p>
    <w:p>
      <w:pPr>
        <w:pStyle w:val="BodyText"/>
      </w:pPr>
      <w:r>
        <w:t xml:space="preserve">The University of Malaya (UM) became our largest institutional client in Malaysia, purchasing 3-year licenses for all 12,000 engineering students—representing a RM 950,000 deal that significantly boosted credibility within academic circles.</w:t>
      </w:r>
    </w:p>
    <w:bookmarkStart w:id="27" w:name="X28025bbce75a7c68be1fd63411772846ceb5451"/>
    <w:p>
      <w:pPr>
        <w:pStyle w:val="Heading2"/>
      </w:pPr>
      <w:r>
        <w:t xml:space="preserve">Strategic Initiatives Driving Success in Kuala Lumpur</w:t>
      </w:r>
    </w:p>
    <w:bookmarkStart w:id="24" w:name="localized-implementation-framework"/>
    <w:p>
      <w:pPr>
        <w:pStyle w:val="Heading3"/>
      </w:pPr>
      <w:r>
        <w:t xml:space="preserve">Localized Implementation Framework</w:t>
      </w:r>
    </w:p>
    <w:p>
      <w:pPr>
        <w:pStyle w:val="FirstParagraph"/>
      </w:pPr>
      <w:r>
        <w:t xml:space="preserve">We developed a Malaysia-specific onboarding protocol that addresses cultural and linguistic needs. The Mathematician platform now features Malay-language support for core modules, culturally relevant problem scenarios (e.g., financial math using MYR currency examples), and alignment with the Malaysian Primary School Mathematics Syllabus. This localization effort reduced client onboarding time by 41% compared to previous international deployments.</w:t>
      </w:r>
    </w:p>
    <w:bookmarkEnd w:id="24"/>
    <w:bookmarkStart w:id="25" w:name="kuala-lumpur-partnerships-ecosystem"/>
    <w:p>
      <w:pPr>
        <w:pStyle w:val="Heading3"/>
      </w:pPr>
      <w:r>
        <w:t xml:space="preserve">Kuala Lumpur Partnerships Ecosystem</w:t>
      </w:r>
    </w:p>
    <w:p>
      <w:pPr>
        <w:pStyle w:val="FirstParagraph"/>
      </w:pPr>
      <w:r>
        <w:t xml:space="preserve">Our strategic alliance with the Kuala Lumpur City Hall (DBKL) and Malaysia Digital Economy Corporation (MDEC) proved instrumental. The "Mathematician for Every Student" pilot program, funded through MDEC's EduTech Grant, deployed our software in 85 public schools across KL with zero-cost access for students. This initiative generated 42% of new leads in Q4 and positioned Mathematician as a government-endorsed solution.</w:t>
      </w:r>
    </w:p>
    <w:bookmarkEnd w:id="25"/>
    <w:bookmarkStart w:id="26" w:name="community-engagement"/>
    <w:p>
      <w:pPr>
        <w:pStyle w:val="Heading3"/>
      </w:pPr>
      <w:r>
        <w:t xml:space="preserve">Community Engagement</w:t>
      </w:r>
    </w:p>
    <w:p>
      <w:pPr>
        <w:pStyle w:val="FirstParagraph"/>
      </w:pPr>
      <w:r>
        <w:t xml:space="preserve">Monthly "Mathematician Masterclasses" hosted at the Kuala Lumpur Convention Center (KLCC) attracted 1,200+ educators and corporate leaders. These events featured guest speakers from Universiti Teknologi Malaysia (UTM) and industry analysts, showcasing real-world applications of data-driven mathematics. This community-building approach increased client retention rates to 89%—exceeding the regional average of 76%.</w:t>
      </w:r>
    </w:p>
    <w:bookmarkEnd w:id="26"/>
    <w:bookmarkEnd w:id="27"/>
    <w:bookmarkStart w:id="28" w:name="challenges-and-mitigation-strategies"/>
    <w:p>
      <w:pPr>
        <w:pStyle w:val="Heading2"/>
      </w:pPr>
      <w:r>
        <w:t xml:space="preserve">Challenges and Mitigation Strategies</w:t>
      </w:r>
    </w:p>
    <w:p>
      <w:pPr>
        <w:pStyle w:val="FirstParagraph"/>
      </w:pPr>
      <w:r>
        <w:t xml:space="preserve">Despite strong performance, we encountered two critical challenges in the Kuala Lumpur market. First, initial resistance from traditional educators required extensive change-management workshops—addressed through our "Mathematician Ambassador Program" that trained 185 local educators as peer advocates. Second, payment processing delays due to bank regulations were mitigated by establishing direct partnerships with Maybank and Public Bank to streamline transactions for government contracts.</w:t>
      </w:r>
    </w:p>
    <w:p>
      <w:pPr>
        <w:pStyle w:val="BodyText"/>
      </w:pPr>
      <w:r>
        <w:t xml:space="preserve">The implementation of our localized training modules reduced support ticket volume by 63% within 60 days, directly improving client satisfaction scores to 4.7/5.0 in Kuala Lumpur (vs. global average of 4.2).</w:t>
      </w:r>
    </w:p>
    <w:bookmarkEnd w:id="28"/>
    <w:bookmarkStart w:id="29" w:name="X0f90937a60b27739c0f1a1cdbcbe645ba1787d0"/>
    <w:p>
      <w:pPr>
        <w:pStyle w:val="Heading2"/>
      </w:pPr>
      <w:r>
        <w:t xml:space="preserve">Future Outlook: Mathematician Expansion in Malaysia</w:t>
      </w:r>
    </w:p>
    <w:p>
      <w:pPr>
        <w:pStyle w:val="FirstParagraph"/>
      </w:pPr>
      <w:r>
        <w:t xml:space="preserve">Based on our Q3-Q4 success, we project RM 6.8 million in sales for Kuala Lumpur during FY 2024—representing a 61% CAGR over the past three years. Key growth vectors include:</w:t>
      </w:r>
    </w:p>
    <w:p>
      <w:pPr>
        <w:numPr>
          <w:ilvl w:val="0"/>
          <w:numId w:val="1001"/>
        </w:numPr>
        <w:pStyle w:val="Compact"/>
      </w:pPr>
      <w:r>
        <w:rPr>
          <w:bCs/>
          <w:b/>
        </w:rPr>
        <w:t xml:space="preserve">Government Contracts:</w:t>
      </w:r>
      <w:r>
        <w:t xml:space="preserve"> </w:t>
      </w:r>
      <w:r>
        <w:t xml:space="preserve">Targeting the Ministry of Education's national rollout of AI-powered math tools (estimated RM 18.5 million budget for FY2024)</w:t>
      </w:r>
    </w:p>
    <w:p>
      <w:pPr>
        <w:numPr>
          <w:ilvl w:val="0"/>
          <w:numId w:val="1001"/>
        </w:numPr>
        <w:pStyle w:val="Compact"/>
      </w:pPr>
      <w:r>
        <w:rPr>
          <w:bCs/>
          <w:b/>
        </w:rPr>
        <w:t xml:space="preserve">E-Commerce Integration:</w:t>
      </w:r>
      <w:r>
        <w:t xml:space="preserve"> </w:t>
      </w:r>
      <w:r>
        <w:t xml:space="preserve">Developing Mathematician-powered analytics for KL-based e-commerce platforms to optimize pricing strategies</w:t>
      </w:r>
    </w:p>
    <w:p>
      <w:pPr>
        <w:numPr>
          <w:ilvl w:val="0"/>
          <w:numId w:val="1001"/>
        </w:numPr>
        <w:pStyle w:val="Compact"/>
      </w:pPr>
      <w:r>
        <w:rPr>
          <w:bCs/>
          <w:b/>
        </w:rPr>
        <w:t xml:space="preserve">STEM Talent Pipeline:</w:t>
      </w:r>
      <w:r>
        <w:t xml:space="preserve"> </w:t>
      </w:r>
      <w:r>
        <w:t xml:space="preserve">Partnering with the Malaysian Industry-Government Group for High Technology (MIGHT) to certify students using Mathematician for industry-ready math skills</w:t>
      </w:r>
    </w:p>
    <w:p>
      <w:pPr>
        <w:pStyle w:val="FirstParagraph"/>
      </w:pPr>
      <w:r>
        <w:t xml:space="preserve">Our 2024 strategy includes establishing a dedicated Malaysia headquarters in Kuala Lumpur's Cyberjaya Tech Hub, which will centralize local sales, support, and R&amp;D teams. This move aligns with our commitment to "Mathematician: Engineered for Asia" while ensuring responsiveness to the unique needs of Malaysia's evolving digital economy.</w:t>
      </w:r>
    </w:p>
    <w:bookmarkEnd w:id="29"/>
    <w:bookmarkStart w:id="30" w:name="conclusion"/>
    <w:p>
      <w:pPr>
        <w:pStyle w:val="Heading2"/>
      </w:pPr>
      <w:r>
        <w:t xml:space="preserve">Conclusion</w:t>
      </w:r>
    </w:p>
    <w:p>
      <w:pPr>
        <w:pStyle w:val="FirstParagraph"/>
      </w:pPr>
      <w:r>
        <w:t xml:space="preserve">The Sales Report for Mathematician in Malaysia Kuala Lumpur demonstrates exceptional market traction that validates our product's relevance and strategic positioning. By deeply integrating with local educational frameworks, government initiatives, and corporate needs, Mathematician has transitioned from a technology solution to an essential catalyst for Malaysia's digital advancement. The 37% YoY growth in Kuala Lumpur—notably outpacing the broader Southeast Asia market (29%)—proves that culturally intelligent product adaptation yields superior commercial results.</w:t>
      </w:r>
    </w:p>
    <w:p>
      <w:pPr>
        <w:pStyle w:val="BodyText"/>
      </w:pPr>
      <w:r>
        <w:t xml:space="preserve">As we advance into 2024, the Mathematician team remains committed to elevating Malaysia's mathematical capabilities through technology. Our success story in Kuala Lumpur serves as a blueprint for expansion across ASEAN markets, reinforcing the global value of localized innovation. The data doesn't lie: when Mathematics meets Market Context—specifically within Malaysia Kuala Lumpur—the future is mathematically certain.</w:t>
      </w:r>
    </w:p>
    <w:bookmarkEnd w:id="30"/>
    <w:p>
      <w:pPr>
        <w:pStyle w:val="BodyText"/>
      </w:pPr>
      <w:r>
        <w:t xml:space="preserve">Mathematician Sales Report | Q3-Q4 2023 | Prepared for Executive Leadership, Asia-Pacific Division</w:t>
      </w:r>
    </w:p>
    <w:p>
      <w:pPr>
        <w:pStyle w:val="BodyText"/>
      </w:pPr>
      <w:r>
        <w:t xml:space="preserve">This document was generated on December 15, 2023. All figures represent Malaysia Kuala Lumpur market performance.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Kuala Lumpur Malaysia Market</dc:title>
  <dc:creator/>
  <dc:language>en</dc:language>
  <cp:keywords/>
  <dcterms:created xsi:type="dcterms:W3CDTF">2025-12-09T14:20:16Z</dcterms:created>
  <dcterms:modified xsi:type="dcterms:W3CDTF">2025-12-09T14:20:16Z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