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Performance</w:t>
      </w:r>
    </w:p>
    <w:bookmarkStart w:id="29" w:name="X0d56582e76cb59e7b57b3792ef96609e5655eb8"/>
    <w:p>
      <w:pPr>
        <w:pStyle w:val="Heading1"/>
      </w:pPr>
      <w:r>
        <w:t xml:space="preserve">Mathematician Sales Report: Peru Lima Market Performance &amp; Strategic Outlook (Q3 2023)</w:t>
      </w:r>
    </w:p>
    <w:p>
      <w:pPr>
        <w:pStyle w:val="FirstParagraph"/>
      </w:pPr>
      <w:r>
        <w:rPr>
          <w:bCs/>
          <w:b/>
        </w:rPr>
        <w:t xml:space="preserve">Prepared For:</w:t>
      </w:r>
      <w:r>
        <w:t xml:space="preserve"> </w:t>
      </w:r>
      <w:r>
        <w:t xml:space="preserve">Executive Leadership, The Mathematician Group</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Mathematician Group has achieved remarkable success in the Lima, Peru market during Q3 2023, demonstrating a 37% year-over-year growth in sales revenue. This performance positions us as the leading provider of advanced mathematical analytics solutions across Peru's capital city. Our strategic focus on integrating cutting-edge mathematical models with local business needs has driven unprecedented adoption among Lima's financial institutions, educational entities, and technology startups. Crucially, this report highlights how our</w:t>
      </w:r>
      <w:r>
        <w:t xml:space="preserve"> </w:t>
      </w:r>
      <w:r>
        <w:rPr>
          <w:bCs/>
          <w:b/>
        </w:rPr>
        <w:t xml:space="preserve">Mathematician</w:t>
      </w:r>
      <w:r>
        <w:t xml:space="preserve">-branded suite of services—tailored for the Peruvian context—has become indispensable in driving data-informed decision-making across key sectors within Lima.</w:t>
      </w:r>
    </w:p>
    <w:bookmarkEnd w:id="20"/>
    <w:bookmarkStart w:id="24" w:name="X21b8ac25130194becff69713803377fe7b08468"/>
    <w:p>
      <w:pPr>
        <w:pStyle w:val="Heading2"/>
      </w:pPr>
      <w:r>
        <w:t xml:space="preserve">Q3 2023 Sales Performance: Lima Market Breakdown</w:t>
      </w:r>
    </w:p>
    <w:p>
      <w:pPr>
        <w:pStyle w:val="FirstParagraph"/>
      </w:pPr>
      <w:r>
        <w:t xml:space="preserve">Lima accounted for 68% of total Peru revenue in Q3, with sales reaching $418,500—surpassing our target by 19%. This growth stems from three strategic pillars:</w:t>
      </w:r>
    </w:p>
    <w:bookmarkStart w:id="21" w:name="X0df789149cc620f13ff00fc6d1b163d9540898e"/>
    <w:p>
      <w:pPr>
        <w:pStyle w:val="Heading3"/>
      </w:pPr>
      <w:r>
        <w:t xml:space="preserve">1. Financial Sector Dominance (42% of Lima Revenue)</w:t>
      </w:r>
    </w:p>
    <w:p>
      <w:pPr>
        <w:pStyle w:val="FirstParagraph"/>
      </w:pPr>
      <w:r>
        <w:t xml:space="preserve">Our partnership with Banco Interamericano de Integración Económica (BIIE) resulted in a $125,000 contract for predictive risk modeling software. This solution, developed by our Lima-based</w:t>
      </w:r>
      <w:r>
        <w:t xml:space="preserve"> </w:t>
      </w:r>
      <w:r>
        <w:rPr>
          <w:bCs/>
          <w:b/>
        </w:rPr>
        <w:t xml:space="preserve">Mathematician</w:t>
      </w:r>
      <w:r>
        <w:t xml:space="preserve"> </w:t>
      </w:r>
      <w:r>
        <w:t xml:space="preserve">analytics team, enables real-time fraud detection using advanced statistical algorithms. The platform reduced false positives by 31% for BIIE's digital banking division—a metric directly tied to their 2023 regulatory compliance goals.</w:t>
      </w:r>
    </w:p>
    <w:p>
      <w:pPr>
        <w:pStyle w:val="BodyText"/>
      </w:pPr>
      <w:r>
        <w:rPr>
          <w:bCs/>
          <w:b/>
        </w:rPr>
        <w:t xml:space="preserve">Key Insight:</w:t>
      </w:r>
      <w:r>
        <w:t xml:space="preserve"> </w:t>
      </w:r>
      <w:r>
        <w:t xml:space="preserve">Lima's financial hub (Miraflores &amp; San Isidro) demonstrated 58% higher demand for mathematical risk solutions than other Peruvian regions, driven by Central Bank of Peru's new data transparency regulations.</w:t>
      </w:r>
    </w:p>
    <w:bookmarkEnd w:id="21"/>
    <w:bookmarkStart w:id="22" w:name="X146a79f36730c388c0aca077df6c1561b8b3470"/>
    <w:p>
      <w:pPr>
        <w:pStyle w:val="Heading3"/>
      </w:pPr>
      <w:r>
        <w:t xml:space="preserve">2. Education Sector Expansion (33% of Lima Revenue)</w:t>
      </w:r>
    </w:p>
    <w:p>
      <w:pPr>
        <w:pStyle w:val="FirstParagraph"/>
      </w:pPr>
      <w:r>
        <w:t xml:space="preserve">We secured contracts with 12 public universities in Lima (including Universidad Nacional Federico Villarreal and UNMSM) for our "Mathematician: STEM Education Suite." This localized software platform—offering Peruvian curriculum-aligned calculus and statistics modules in Spanish—generated $148,000. Demand surged after the Ministry of Education's "Digital Learning 2030" initiative prioritized math proficiency.</w:t>
      </w:r>
    </w:p>
    <w:p>
      <w:pPr>
        <w:pStyle w:val="BodyText"/>
      </w:pPr>
      <w:r>
        <w:rPr>
          <w:bCs/>
          <w:b/>
        </w:rPr>
        <w:t xml:space="preserve">Local Impact:</w:t>
      </w:r>
      <w:r>
        <w:t xml:space="preserve"> </w:t>
      </w:r>
      <w:r>
        <w:t xml:space="preserve">In Lima alone, over 47,000 students now access our platform daily. Teachers report a 28% average improvement in STEM exam pass rates—directly aligning with Peru's national educational goals.</w:t>
      </w:r>
    </w:p>
    <w:bookmarkEnd w:id="22"/>
    <w:bookmarkStart w:id="23" w:name="Xaffcb0d65d4ecfa6a53b23aa488320b1bf8df7d"/>
    <w:p>
      <w:pPr>
        <w:pStyle w:val="Heading3"/>
      </w:pPr>
      <w:r>
        <w:t xml:space="preserve">3. Tech Startup Collaboration (25% of Lima Revenue)</w:t>
      </w:r>
    </w:p>
    <w:p>
      <w:pPr>
        <w:pStyle w:val="FirstParagraph"/>
      </w:pPr>
      <w:r>
        <w:t xml:space="preserve">Our "Mathematician Accelerator Program" supported 17 Lima-based startups (e.g., fintechs like Kredito and agri-tech firm Agricore) through subsidized access to our optimization algorithms. This initiative yielded $145,500 in revenue while fostering a thriving ecosystem where local</w:t>
      </w:r>
      <w:r>
        <w:t xml:space="preserve"> </w:t>
      </w:r>
      <w:r>
        <w:rPr>
          <w:bCs/>
          <w:b/>
        </w:rPr>
        <w:t xml:space="preserve">Mathematician</w:t>
      </w:r>
      <w:r>
        <w:t xml:space="preserve"> </w:t>
      </w:r>
      <w:r>
        <w:t xml:space="preserve">experts mentor entrepreneurs.</w:t>
      </w:r>
    </w:p>
    <w:p>
      <w:pPr>
        <w:pStyle w:val="BodyText"/>
      </w:pPr>
      <w:r>
        <w:rPr>
          <w:iCs/>
          <w:i/>
        </w:rPr>
        <w:t xml:space="preserve">"The Mathematical Modeling Workshop provided by The Mathematician Group was pivotal in refining our pricing algorithm,"</w:t>
      </w:r>
      <w:r>
        <w:t xml:space="preserve"> </w:t>
      </w:r>
      <w:r>
        <w:t xml:space="preserve">shared Diego Morales, CEO of Agricore.</w:t>
      </w:r>
      <w:r>
        <w:t xml:space="preserve"> </w:t>
      </w:r>
      <w:r>
        <w:rPr>
          <w:iCs/>
          <w:i/>
        </w:rPr>
        <w:t xml:space="preserve">"Their Lima-based team understood Peruvian market nuances better than any international vendor."</w:t>
      </w:r>
    </w:p>
    <w:bookmarkEnd w:id="23"/>
    <w:bookmarkEnd w:id="24"/>
    <w:bookmarkStart w:id="25" w:name="market-analysis-why-lima-why-now"/>
    <w:p>
      <w:pPr>
        <w:pStyle w:val="Heading2"/>
      </w:pPr>
      <w:r>
        <w:t xml:space="preserve">Market Analysis: Why Lima? Why Now?</w:t>
      </w:r>
    </w:p>
    <w:p>
      <w:pPr>
        <w:pStyle w:val="FirstParagraph"/>
      </w:pPr>
      <w:r>
        <w:t xml:space="preserve">Lima's status as Peru's economic and educational epicenter makes it our most strategic market. The city houses 65% of Peru’s Fortune 500 companies and 43% of all university students, creating a concentrated demand for mathematical solutions. Three macro trends fueled our Q3 success:</w:t>
      </w:r>
    </w:p>
    <w:p>
      <w:pPr>
        <w:numPr>
          <w:ilvl w:val="0"/>
          <w:numId w:val="1001"/>
        </w:numPr>
        <w:pStyle w:val="Compact"/>
      </w:pPr>
      <w:r>
        <w:rPr>
          <w:bCs/>
          <w:b/>
        </w:rPr>
        <w:t xml:space="preserve">Regulatory Shifts:</w:t>
      </w:r>
      <w:r>
        <w:t xml:space="preserve"> </w:t>
      </w:r>
      <w:r>
        <w:t xml:space="preserve">Central Bank's Decree No. 022-2023 mandated AI-driven risk assessment for all financial institutions—directly boosting our sales pipeline.</w:t>
      </w:r>
    </w:p>
    <w:p>
      <w:pPr>
        <w:numPr>
          <w:ilvl w:val="0"/>
          <w:numId w:val="1001"/>
        </w:numPr>
        <w:pStyle w:val="Compact"/>
      </w:pPr>
      <w:r>
        <w:rPr>
          <w:bCs/>
          <w:b/>
        </w:rPr>
        <w:t xml:space="preserve">Educational Reform:</w:t>
      </w:r>
      <w:r>
        <w:t xml:space="preserve"> </w:t>
      </w:r>
      <w:r>
        <w:t xml:space="preserve">Peru’s new "Mathematics Competency Framework" (effective Jan 2024) created immediate demand for certified teaching tools like our Lima-developed suite.</w:t>
      </w:r>
    </w:p>
    <w:p>
      <w:pPr>
        <w:numPr>
          <w:ilvl w:val="0"/>
          <w:numId w:val="1001"/>
        </w:numPr>
        <w:pStyle w:val="Compact"/>
      </w:pPr>
      <w:r>
        <w:rPr>
          <w:bCs/>
          <w:b/>
        </w:rPr>
        <w:t xml:space="preserve">Digital Transformation:</w:t>
      </w:r>
      <w:r>
        <w:t xml:space="preserve"> </w:t>
      </w:r>
      <w:r>
        <w:t xml:space="preserve">Lima's startup ecosystem grew by 29% YoY, with 63% of new ventures prioritizing data-driven operations—making our mathematical consulting services essential.</w:t>
      </w:r>
    </w:p>
    <w:bookmarkEnd w:id="25"/>
    <w:bookmarkStart w:id="26" w:name="challenges-strategic-adaptations-in-lima"/>
    <w:p>
      <w:pPr>
        <w:pStyle w:val="Heading2"/>
      </w:pPr>
      <w:r>
        <w:t xml:space="preserve">Challenges &amp; Strategic Adaptations in Lima</w:t>
      </w:r>
    </w:p>
    <w:p>
      <w:pPr>
        <w:pStyle w:val="FirstParagraph"/>
      </w:pPr>
      <w:r>
        <w:t xml:space="preserve">Despite strong performance, we identified critical challenges requiring localized solutions:</w:t>
      </w:r>
    </w:p>
    <w:p>
      <w:pPr>
        <w:pStyle w:val="BodyText"/>
      </w:pPr>
      <w:r>
        <w:rPr>
          <w:bCs/>
          <w:b/>
        </w:rPr>
        <w:t xml:space="preserve">Challenge 1: Language &amp; Cultural Nuance</w:t>
      </w:r>
      <w:r>
        <w:br/>
      </w:r>
      <w:r>
        <w:t xml:space="preserve">Initial English-centric dashboards caused confusion among Spanish-speaking clients. Our Lima team (led by Dr. Sofia Vásquez, a local mathematician with 12 years in Peruvian education) re-engineered all interfaces to prioritize Peruvian Spanish idioms and regional data examples—increasing client satisfaction scores by 41%.</w:t>
      </w:r>
    </w:p>
    <w:p>
      <w:pPr>
        <w:pStyle w:val="BodyText"/>
      </w:pPr>
      <w:r>
        <w:rPr>
          <w:bCs/>
          <w:b/>
        </w:rPr>
        <w:t xml:space="preserve">Challenge 2: Infrastructure Limitations</w:t>
      </w:r>
      <w:r>
        <w:br/>
      </w:r>
      <w:r>
        <w:t xml:space="preserve">Power outages in peripheral Lima zones disrupted cloud service access. We deployed localized edge servers across La Molina and Lince, reducing latency by 78% for clients in these high-demand areas.</w:t>
      </w:r>
    </w:p>
    <w:bookmarkEnd w:id="26"/>
    <w:bookmarkStart w:id="27" w:name="X1ff655b467eba8f53c1b1371cc686742f3afe88"/>
    <w:p>
      <w:pPr>
        <w:pStyle w:val="Heading2"/>
      </w:pPr>
      <w:r>
        <w:t xml:space="preserve">Future Outlook &amp; Recommendations for Peru Lima</w:t>
      </w:r>
    </w:p>
    <w:p>
      <w:pPr>
        <w:pStyle w:val="FirstParagraph"/>
      </w:pPr>
      <w:r>
        <w:t xml:space="preserve">Based on Q3 momentum, we project 50%+ growth in Lima through Q4 2023. Key actions include:</w:t>
      </w:r>
    </w:p>
    <w:p>
      <w:pPr>
        <w:numPr>
          <w:ilvl w:val="0"/>
          <w:numId w:val="1002"/>
        </w:numPr>
        <w:pStyle w:val="Compact"/>
      </w:pPr>
      <w:r>
        <w:rPr>
          <w:bCs/>
          <w:b/>
        </w:rPr>
        <w:t xml:space="preserve">Expand Educational Partnerships:</w:t>
      </w:r>
      <w:r>
        <w:t xml:space="preserve"> </w:t>
      </w:r>
      <w:r>
        <w:t xml:space="preserve">Target all 15 Lima public universities by Q1 2024, leveraging our Ministry of Education accreditation.</w:t>
      </w:r>
    </w:p>
    <w:p>
      <w:pPr>
        <w:numPr>
          <w:ilvl w:val="0"/>
          <w:numId w:val="1002"/>
        </w:numPr>
        <w:pStyle w:val="Compact"/>
      </w:pPr>
      <w:r>
        <w:rPr>
          <w:bCs/>
          <w:b/>
        </w:rPr>
        <w:t xml:space="preserve">Launch "Mathematician for SMEs":</w:t>
      </w:r>
      <w:r>
        <w:t xml:space="preserve"> </w:t>
      </w:r>
      <w:r>
        <w:t xml:space="preserve">A budget-friendly subscription model targeting Lima's 68,000 small businesses seeking financial analytics—addressing a $3.7M untapped market.</w:t>
      </w:r>
    </w:p>
    <w:p>
      <w:pPr>
        <w:numPr>
          <w:ilvl w:val="0"/>
          <w:numId w:val="1002"/>
        </w:numPr>
        <w:pStyle w:val="Compact"/>
      </w:pPr>
      <w:r>
        <w:rPr>
          <w:bCs/>
          <w:b/>
        </w:rPr>
        <w:t xml:space="preserve">Cultivate Local Talent:</w:t>
      </w:r>
      <w:r>
        <w:t xml:space="preserve"> </w:t>
      </w:r>
      <w:r>
        <w:t xml:space="preserve">Partner with Universidad Católica del Perú to create the "Lima Mathematical Innovators Fellowship," training 200 local graduates annually in our solution frameworks.</w:t>
      </w:r>
    </w:p>
    <w:bookmarkEnd w:id="27"/>
    <w:bookmarkStart w:id="28" w:name="Xc953af778de7e0986c7047df647afb65f674836"/>
    <w:p>
      <w:pPr>
        <w:pStyle w:val="Heading2"/>
      </w:pPr>
      <w:r>
        <w:t xml:space="preserve">Conclusion: The Mathematician Advantage in Lima</w:t>
      </w:r>
    </w:p>
    <w:p>
      <w:pPr>
        <w:pStyle w:val="FirstParagraph"/>
      </w:pPr>
      <w:r>
        <w:t xml:space="preserve">The Q3 results affirm that our focus on embedding mathematical excellence within Lima's unique socio-economic fabric has generated exceptional returns. Unlike international competitors who offer generic tools, our</w:t>
      </w:r>
      <w:r>
        <w:t xml:space="preserve"> </w:t>
      </w:r>
      <w:r>
        <w:rPr>
          <w:bCs/>
          <w:b/>
        </w:rPr>
        <w:t xml:space="preserve">Mathematician</w:t>
      </w:r>
      <w:r>
        <w:t xml:space="preserve">-aligned approach—developed by Peruvian mathematicians for Peruvian challenges—has become the benchmark for quality and relevance. As Peru accelerates its digital transformation under President Dina Boluarte's "Tech Peru 2030" agenda, Lima will remain the epicenter of demand for sophisticated mathematical solutions.</w:t>
      </w:r>
    </w:p>
    <w:p>
      <w:pPr>
        <w:pStyle w:val="BodyText"/>
      </w:pPr>
      <w:r>
        <w:t xml:space="preserve">Crucially, this success proves that when mathematics is tailored to local context—whether optimizing Lima's financial regulations or enhancing classroom teaching—it transcends being a technical service to become a catalyst for national progress. The Mathematician Group is not merely selling software; we are empowering Lima’s future through the universal language of numbers.</w:t>
      </w:r>
    </w:p>
    <w:p>
      <w:pPr>
        <w:pStyle w:val="BodyText"/>
      </w:pPr>
      <w:r>
        <w:rPr>
          <w:bCs/>
          <w:b/>
        </w:rPr>
        <w:t xml:space="preserve">Final Metric:</w:t>
      </w:r>
      <w:r>
        <w:t xml:space="preserve"> </w:t>
      </w:r>
      <w:r>
        <w:t xml:space="preserve">In Lima, 87% of clients now cite "understanding local challenges" as their primary reason for choosing The Mathematician Group over global competitors—a testament to our localized mathematical expertise.</w:t>
      </w:r>
    </w:p>
    <w:p>
      <w:pPr>
        <w:pStyle w:val="BodyText"/>
      </w:pPr>
      <w:r>
        <w:t xml:space="preserve">Prepared by: The Mathematician Group Sales Strategy Division | Lima, Peru</w:t>
      </w:r>
      <w:r>
        <w:br/>
      </w:r>
      <w:r>
        <w:t xml:space="preserve">Confidential: This report contains proprietary market intelligence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Peru Lima Market Performance</dc:title>
  <dc:creator/>
  <dc:language>en</dc:language>
  <cp:keywords/>
  <dcterms:created xsi:type="dcterms:W3CDTF">2026-07-15T06:21:29Z</dcterms:created>
  <dcterms:modified xsi:type="dcterms:W3CDTF">2026-07-15T06:21:29Z</dcterms:modified>
</cp:coreProperties>
</file>

<file path=docProps/custom.xml><?xml version="1.0" encoding="utf-8"?>
<Properties xmlns="http://schemas.openxmlformats.org/officeDocument/2006/custom-properties" xmlns:vt="http://schemas.openxmlformats.org/officeDocument/2006/docPropsVTypes"/>
</file>