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28" w:name="X92b514b0a40409cf1dc32414f99bb2155d10d45"/>
    <w:p>
      <w:pPr>
        <w:pStyle w:val="Heading1"/>
      </w:pPr>
      <w:r>
        <w:t xml:space="preserve">Sales Report: Mathematician Product Suite in Russia Saint Petersburg</w:t>
      </w:r>
    </w:p>
    <w:bookmarkStart w:id="20" w:name="executive-summary"/>
    <w:p>
      <w:pPr>
        <w:pStyle w:val="Heading2"/>
      </w:pPr>
      <w:r>
        <w:t xml:space="preserve">Executive Summary</w:t>
      </w:r>
    </w:p>
    <w:p>
      <w:pPr>
        <w:pStyle w:val="FirstParagraph"/>
      </w:pPr>
      <w:r>
        <w:t xml:space="preserve">This comprehensive Sales Report details the market performance of our "Mathematician" AI-powered educational platform across Saint Petersburg, Russia. Over the past fiscal year (January 2023–December 2023), we achieved a 147% year-over-year growth in sales within this critical Russian market, securing contracts with 87 educational institutions and corporate clients. The Saint Petersburg regional focus has proven exceptionally fruitful due to the city's status as Russia's second-largest academic hub, home to world-renowned institutions like Saint Petersburg State University and ITMO University. This Sales Report underscores how our "Mathematician" solution uniquely addresses local pedagogical needs while navigating Russia's evolving educational landscape.</w:t>
      </w:r>
    </w:p>
    <w:bookmarkEnd w:id="20"/>
    <w:bookmarkStart w:id="21" w:name="Xdf5cd4119f52d9fe3ba33fed25224caf5c8b72e"/>
    <w:p>
      <w:pPr>
        <w:pStyle w:val="Heading2"/>
      </w:pPr>
      <w:r>
        <w:t xml:space="preserve">Market Analysis: Saint Petersburg as a Strategic Priority</w:t>
      </w:r>
    </w:p>
    <w:p>
      <w:pPr>
        <w:pStyle w:val="FirstParagraph"/>
      </w:pPr>
      <w:r>
        <w:t xml:space="preserve">Russia Saint Petersburg presents a unique opportunity for premium educational technology due to its dense concentration of research institutions, government-supported STEM initiatives, and high demand for advanced math education. The regional Ministry of Education recently allocated ₽1.2 billion to digital learning tools in 2023—a 40% increase from the previous year—directly aligning with our "Mathematician" platform's core competencies. Unlike Moscow-centric competitors, our localized approach (including Russian-language curriculum alignment and Cyrillic interface optimization) captured 38% of the Saint Petersburg market share within six months of launch. This Sales Report confirms that targeting Russia Saint Petersburg was not merely strategic but essential for sustainable growth in the Russian educational technology sector.</w:t>
      </w:r>
    </w:p>
    <w:bookmarkEnd w:id="21"/>
    <w:bookmarkStart w:id="22" w:name="sales-performance-highlights"/>
    <w:p>
      <w:pPr>
        <w:pStyle w:val="Heading2"/>
      </w:pPr>
      <w:r>
        <w:t xml:space="preserve">Sales Performance Highlights</w:t>
      </w:r>
    </w:p>
    <w:p>
      <w:pPr>
        <w:pStyle w:val="FirstParagraph"/>
      </w:pPr>
      <w:r>
        <w:t xml:space="preserve">Quarter</w:t>
      </w:r>
    </w:p>
    <w:p>
      <w:pPr>
        <w:pStyle w:val="BodyText"/>
      </w:pPr>
      <w:r>
        <w:t xml:space="preserve">Revenue (₽)</w:t>
      </w:r>
    </w:p>
    <w:p>
      <w:pPr>
        <w:pStyle w:val="BodyText"/>
      </w:pPr>
      <w:r>
        <w:t xml:space="preserve">New Clients (Saint Petersburg)</w:t>
      </w:r>
    </w:p>
    <w:p>
      <w:pPr>
        <w:pStyle w:val="BodyText"/>
      </w:pPr>
      <w:r>
        <w:t xml:space="preserve">Key Institutions Secured</w:t>
      </w:r>
    </w:p>
    <w:p>
      <w:pPr>
        <w:pStyle w:val="BodyText"/>
      </w:pPr>
      <w:r>
        <w:t xml:space="preserve">Q1 2023</w:t>
      </w:r>
    </w:p>
    <w:p>
      <w:pPr>
        <w:pStyle w:val="BodyText"/>
      </w:pPr>
      <w:r>
        <w:t xml:space="preserve">48,500,000</w:t>
      </w:r>
    </w:p>
    <w:p>
      <w:pPr>
        <w:pStyle w:val="BodyText"/>
      </w:pPr>
      <w:r>
        <w:t xml:space="preserve">17</w:t>
      </w:r>
    </w:p>
    <w:p>
      <w:pPr>
        <w:pStyle w:val="BodyText"/>
      </w:pPr>
      <w:r>
        <w:t xml:space="preserve">Leningrad Regional School #34, Peterhof Lyceum</w:t>
      </w:r>
    </w:p>
    <w:p>
      <w:pPr>
        <w:pStyle w:val="BodyText"/>
      </w:pPr>
      <w:r>
        <w:t xml:space="preserve">Q2 2023</w:t>
      </w:r>
    </w:p>
    <w:p>
      <w:pPr>
        <w:pStyle w:val="BodyText"/>
      </w:pPr>
      <w:r>
        <w:t xml:space="preserve">69,800,000</w:t>
      </w:r>
    </w:p>
    <w:p>
      <w:pPr>
        <w:pStyle w:val="BodyText"/>
      </w:pPr>
      <w:r>
        <w:t xml:space="preserve">24</w:t>
      </w:r>
    </w:p>
    <w:p>
      <w:pPr>
        <w:pStyle w:val="BodyText"/>
      </w:pPr>
      <w:r>
        <w:t xml:space="preserve">Saint Petersburg State University Math Department, Ioffe Institute</w:t>
      </w:r>
    </w:p>
    <w:p>
      <w:pPr>
        <w:pStyle w:val="BodyText"/>
      </w:pPr>
      <w:r>
        <w:t xml:space="preserve">Q3 2023</w:t>
      </w:r>
    </w:p>
    <w:p>
      <w:pPr>
        <w:pStyle w:val="BodyText"/>
      </w:pPr>
      <w:r>
        <w:t xml:space="preserve">76,250,000</w:t>
      </w:r>
    </w:p>
    <w:p>
      <w:pPr>
        <w:pStyle w:val="BodyText"/>
      </w:pPr>
      <w:r>
        <w:t xml:space="preserve">19</w:t>
      </w:r>
    </w:p>
    <w:p>
      <w:pPr>
        <w:pStyle w:val="BodyText"/>
      </w:pPr>
      <w:r>
        <w:t xml:space="preserve">Nevsky Technical College, Sankt-Peterburg Academy of Arts (STEM Division)</w:t>
      </w:r>
    </w:p>
    <w:p>
      <w:pPr>
        <w:pStyle w:val="BodyText"/>
      </w:pPr>
      <w:r>
        <w:t xml:space="preserve">Q4 2023</w:t>
      </w:r>
    </w:p>
    <w:p>
      <w:pPr>
        <w:pStyle w:val="BodyText"/>
      </w:pPr>
      <w:r>
        <w:t xml:space="preserve">85,300,000</w:t>
      </w:r>
    </w:p>
    <w:p>
      <w:pPr>
        <w:pStyle w:val="BodyText"/>
      </w:pPr>
      <w:r>
        <w:t xml:space="preserve">27</w:t>
      </w:r>
    </w:p>
    <w:p>
      <w:pPr>
        <w:pStyle w:val="BodyText"/>
      </w:pPr>
      <w:r>
        <w:t xml:space="preserve">Saint Petersburg Electrotechnical University, Regional Education Portal Partnership</w:t>
      </w:r>
    </w:p>
    <w:p>
      <w:pPr>
        <w:pStyle w:val="BodyText"/>
      </w:pPr>
      <w:r>
        <w:t xml:space="preserve">The data above demonstrates consistent quarterly growth. Notably, our contract with Saint Petersburg State University's Applied Mathematics Faculty (valued at ₽28.7M) became the largest single sale in our history and a flagship case for this Sales Report. This success stems from tailoring "Mathematician" to integrate seamlessly with Russia's Unified Educational Space standards—a critical differentiator in Saint Petersburg's competitive academic environment.</w:t>
      </w:r>
    </w:p>
    <w:bookmarkEnd w:id="22"/>
    <w:bookmarkStart w:id="23" w:name="customer-centric-success-stories"/>
    <w:p>
      <w:pPr>
        <w:pStyle w:val="Heading2"/>
      </w:pPr>
      <w:r>
        <w:t xml:space="preserve">Customer-Centric Success Stories</w:t>
      </w:r>
    </w:p>
    <w:p>
      <w:pPr>
        <w:pStyle w:val="FirstParagraph"/>
      </w:pPr>
      <w:r>
        <w:t xml:space="preserve">Our most compelling evidence comes from user testimonials across the Russia Saint Petersburg market. Professor Elena Volkova of Saint Petersburg State University shared: "The 'Mathematician' platform’s adaptive algorithms for advanced calculus aligned perfectly with our curriculum. After implementation, student pass rates in differential equations rose by 31% within one semester." Similarly, ITMO University's Director of Technology Adoption noted: "Unlike foreign solutions requiring constant localization fixes, 'Mathematician' was built for Russian pedagogy from day one—this is why we chose it over three international competitors." These testimonials validate our core thesis that the "Mathematician" product suite delivers measurable ROI in Saint Petersburg's demanding educational ecosystem.</w:t>
      </w:r>
    </w:p>
    <w:bookmarkEnd w:id="23"/>
    <w:bookmarkStart w:id="24" w:name="Xb21bc747e6d2b990c81b45185172c3c5d5b71dc"/>
    <w:p>
      <w:pPr>
        <w:pStyle w:val="Heading2"/>
      </w:pPr>
      <w:r>
        <w:t xml:space="preserve">Regional Challenges &amp; Strategic Adaptations</w:t>
      </w:r>
    </w:p>
    <w:p>
      <w:pPr>
        <w:pStyle w:val="FirstParagraph"/>
      </w:pPr>
      <w:r>
        <w:t xml:space="preserve">Operating in Russia Saint Petersburg presented specific challenges, including navigating local data sovereignty laws and adapting to regional teaching methodologies. Our Sales Report identifies two key adaptations that drove success:</w:t>
      </w:r>
    </w:p>
    <w:p>
      <w:pPr>
        <w:numPr>
          <w:ilvl w:val="0"/>
          <w:numId w:val="1001"/>
        </w:numPr>
        <w:pStyle w:val="Compact"/>
      </w:pPr>
      <w:r>
        <w:rPr>
          <w:bCs/>
          <w:b/>
        </w:rPr>
        <w:t xml:space="preserve">Data Compliance:</w:t>
      </w:r>
      <w:r>
        <w:t xml:space="preserve"> </w:t>
      </w:r>
      <w:r>
        <w:t xml:space="preserve">We partnered with Russian cloud provider Yandex Cloud (based in Saint Petersburg) to host all client data within Russia, ensuring GDPR-Russia compliance—a non-negotiable for 92% of our educational clients.</w:t>
      </w:r>
    </w:p>
    <w:p>
      <w:pPr>
        <w:numPr>
          <w:ilvl w:val="0"/>
          <w:numId w:val="1001"/>
        </w:numPr>
        <w:pStyle w:val="Compact"/>
      </w:pPr>
      <w:r>
        <w:rPr>
          <w:bCs/>
          <w:b/>
        </w:rPr>
        <w:t xml:space="preserve">Curriculum Integration:</w:t>
      </w:r>
      <w:r>
        <w:t xml:space="preserve"> </w:t>
      </w:r>
      <w:r>
        <w:t xml:space="preserve">Our development team collaborated with Saint Petersburg educators to map "Mathematician" to the Federal State Educational Standards (FSES), adding localized problem sets from Russian mathematical traditions like the Petrozavodsk Olympiad archives.</w:t>
      </w:r>
    </w:p>
    <w:p>
      <w:pPr>
        <w:pStyle w:val="FirstParagraph"/>
      </w:pPr>
      <w:r>
        <w:t xml:space="preserve">These adaptations directly addressed market-specific friction points, transforming potential barriers into competitive advantages within Russia Saint Petersburg.</w:t>
      </w:r>
    </w:p>
    <w:bookmarkEnd w:id="24"/>
    <w:bookmarkStart w:id="25" w:name="competitive-landscape-analysis"/>
    <w:p>
      <w:pPr>
        <w:pStyle w:val="Heading2"/>
      </w:pPr>
      <w:r>
        <w:t xml:space="preserve">Competitive Landscape Analysis</w:t>
      </w:r>
    </w:p>
    <w:p>
      <w:pPr>
        <w:pStyle w:val="FirstParagraph"/>
      </w:pPr>
      <w:r>
        <w:t xml:space="preserve">The Saint Petersburg market is highly competitive, with 17 international edtech firms vying for share. However, our Sales Report reveals that "Mathematician" outperformed all competitors in three critical areas:</w:t>
      </w:r>
    </w:p>
    <w:p>
      <w:pPr>
        <w:numPr>
          <w:ilvl w:val="0"/>
          <w:numId w:val="1002"/>
        </w:numPr>
        <w:pStyle w:val="Compact"/>
      </w:pPr>
      <w:r>
        <w:rPr>
          <w:bCs/>
          <w:b/>
        </w:rPr>
        <w:t xml:space="preserve">Localization:</w:t>
      </w:r>
      <w:r>
        <w:t xml:space="preserve"> </w:t>
      </w:r>
      <w:r>
        <w:t xml:space="preserve">89% of Russian schools prioritize native-language interface vs. foreign alternatives (62% adoption rate).</w:t>
      </w:r>
    </w:p>
    <w:p>
      <w:pPr>
        <w:numPr>
          <w:ilvl w:val="0"/>
          <w:numId w:val="1002"/>
        </w:numPr>
        <w:pStyle w:val="Compact"/>
      </w:pPr>
      <w:r>
        <w:rPr>
          <w:bCs/>
          <w:b/>
        </w:rPr>
        <w:t xml:space="preserve">Government Alignment:</w:t>
      </w:r>
      <w:r>
        <w:t xml:space="preserve"> </w:t>
      </w:r>
      <w:r>
        <w:t xml:space="preserve">76% of Saint Petersburg institutions require Ministry-verified educational tools, a gap our certification filled.</w:t>
      </w:r>
    </w:p>
    <w:p>
      <w:pPr>
        <w:numPr>
          <w:ilvl w:val="0"/>
          <w:numId w:val="1002"/>
        </w:numPr>
        <w:pStyle w:val="Compact"/>
      </w:pPr>
      <w:r>
        <w:rPr>
          <w:bCs/>
          <w:b/>
        </w:rPr>
        <w:t xml:space="preserve">Tailored Support:</w:t>
      </w:r>
      <w:r>
        <w:t xml:space="preserve"> </w:t>
      </w:r>
      <w:r>
        <w:t xml:space="preserve">Our on-ground Saint Petersburg sales team (45 staff members) provides same-day technical support during school hours—a service no competitor offers in the region.</w:t>
      </w:r>
    </w:p>
    <w:p>
      <w:pPr>
        <w:pStyle w:val="FirstParagraph"/>
      </w:pPr>
      <w:r>
        <w:t xml:space="preserve">This strategic focus on Russia Saint Petersburg's unique requirements has allowed "Mathematician" to achieve 2.3x higher customer retention than competitors in our key market.</w:t>
      </w:r>
    </w:p>
    <w:bookmarkEnd w:id="25"/>
    <w:bookmarkStart w:id="26" w:name="Xb31a132f86109a4e2c3d88c31b25de0f2e919ce"/>
    <w:p>
      <w:pPr>
        <w:pStyle w:val="Heading2"/>
      </w:pPr>
      <w:r>
        <w:t xml:space="preserve">Future Growth Strategy for Russia Saint Petersburg</w:t>
      </w:r>
    </w:p>
    <w:p>
      <w:pPr>
        <w:pStyle w:val="FirstParagraph"/>
      </w:pPr>
      <w:r>
        <w:t xml:space="preserve">Based on this Sales Report, we recommend three initiatives for 2024:</w:t>
      </w:r>
    </w:p>
    <w:p>
      <w:pPr>
        <w:numPr>
          <w:ilvl w:val="0"/>
          <w:numId w:val="1003"/>
        </w:numPr>
        <w:pStyle w:val="Compact"/>
      </w:pPr>
      <w:r>
        <w:rPr>
          <w:bCs/>
          <w:b/>
        </w:rPr>
        <w:t xml:space="preserve">Saint Petersburg STEM Hub:</w:t>
      </w:r>
      <w:r>
        <w:t xml:space="preserve"> </w:t>
      </w:r>
      <w:r>
        <w:t xml:space="preserve">Establish a physical innovation center in the city's Technology Park (near ITMO University) to co-develop advanced modules with local researchers.</w:t>
      </w:r>
    </w:p>
    <w:p>
      <w:pPr>
        <w:numPr>
          <w:ilvl w:val="0"/>
          <w:numId w:val="1003"/>
        </w:numPr>
        <w:pStyle w:val="Compact"/>
      </w:pPr>
      <w:r>
        <w:rPr>
          <w:bCs/>
          <w:b/>
        </w:rPr>
        <w:t xml:space="preserve">Government Partnership Expansion:</w:t>
      </w:r>
      <w:r>
        <w:t xml:space="preserve"> </w:t>
      </w:r>
      <w:r>
        <w:t xml:space="preserve">Pursue inclusion in the Ministry of Education's "Digital School" initiative, targeting 200+ additional schools across Saint Petersburg Region.</w:t>
      </w:r>
    </w:p>
    <w:p>
      <w:pPr>
        <w:numPr>
          <w:ilvl w:val="0"/>
          <w:numId w:val="1003"/>
        </w:numPr>
        <w:pStyle w:val="Compact"/>
      </w:pPr>
      <w:r>
        <w:rPr>
          <w:bCs/>
          <w:b/>
        </w:rPr>
        <w:t xml:space="preserve">Premium Corporate Tier:</w:t>
      </w:r>
      <w:r>
        <w:t xml:space="preserve"> </w:t>
      </w:r>
      <w:r>
        <w:t xml:space="preserve">Target Saint Petersburg's growing tech sector (including VKontakte and Yandex R&amp;D centers) with enterprise-level "Mathematician" analytics for talent development.</w:t>
      </w:r>
    </w:p>
    <w:p>
      <w:pPr>
        <w:pStyle w:val="FirstParagraph"/>
      </w:pPr>
      <w:r>
        <w:t xml:space="preserve">Our market analysis confirms that Russia Saint Petersburg will generate 63% of our total Russian revenue in 2024, making it the cornerstone of our national strategy.</w:t>
      </w:r>
    </w:p>
    <w:bookmarkEnd w:id="26"/>
    <w:bookmarkStart w:id="27" w:name="conclusion"/>
    <w:p>
      <w:pPr>
        <w:pStyle w:val="Heading2"/>
      </w:pPr>
      <w:r>
        <w:t xml:space="preserve">Conclusion</w:t>
      </w:r>
    </w:p>
    <w:p>
      <w:pPr>
        <w:pStyle w:val="FirstParagraph"/>
      </w:pPr>
      <w:r>
        <w:t xml:space="preserve">This Sales Report unequivocally demonstrates that "Mathematician" has become the preferred educational technology solution for Saint Petersburg's academic institutions. By embedding ourselves within Russia's educational ecosystem—not just selling a product but becoming a trusted partner in pedagogical innovation—we've transformed market perception. The 147% YoY growth isn't merely a number; it represents over 2,500 Russian students gaining access to superior math education through our platform. As we look ahead, the strategic importance of Russia Saint Petersburg remains paramount: it is not just another market but the proving ground for our global expansion. The success of "Mathematician" in this city validates our entire business model and sets a benchmark for future regional deployments.</w:t>
      </w:r>
    </w:p>
    <w:p>
      <w:pPr>
        <w:pStyle w:val="BodyText"/>
      </w:pPr>
      <w:r>
        <w:rPr>
          <w:iCs/>
          <w:i/>
        </w:rPr>
        <w:t xml:space="preserve">Prepared by Global Education Solutions, Inc. | November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Russia Saint Petersburg Market</dc:title>
  <dc:creator/>
  <dc:language>en</dc:language>
  <cp:keywords/>
  <dcterms:created xsi:type="dcterms:W3CDTF">2026-07-24T05:17:03Z</dcterms:created>
  <dcterms:modified xsi:type="dcterms:W3CDTF">2026-07-24T05:17:03Z</dcterms:modified>
</cp:coreProperties>
</file>

<file path=docProps/custom.xml><?xml version="1.0" encoding="utf-8"?>
<Properties xmlns="http://schemas.openxmlformats.org/officeDocument/2006/custom-properties" xmlns:vt="http://schemas.openxmlformats.org/officeDocument/2006/docPropsVTypes"/>
</file>