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mathematician-sales-performance-report"/>
    <w:p>
      <w:pPr>
        <w:pStyle w:val="Heading1"/>
      </w:pPr>
      <w:r>
        <w:t xml:space="preserve">Mathematician Sales Performance Report</w:t>
      </w:r>
    </w:p>
    <w:bookmarkStart w:id="20" w:name="X32a82fc9f9913953e7c689a702dfb0bf40e1d23"/>
    <w:p>
      <w:pPr>
        <w:pStyle w:val="Heading2"/>
      </w:pPr>
      <w:r>
        <w:t xml:space="preserve">Q3 2023 | Riyadh, Saudi Arabia Market Analysis</w:t>
      </w:r>
    </w:p>
    <w:p>
      <w:pPr>
        <w:pStyle w:val="FirstParagraph"/>
      </w:pPr>
      <w:r>
        <w:rPr>
          <w:bCs/>
          <w:b/>
        </w:rPr>
        <w:t xml:space="preserve">Prepared For:</w:t>
      </w:r>
      <w:r>
        <w:t xml:space="preserve"> </w:t>
      </w:r>
      <w:r>
        <w:t xml:space="preserve">Regional Sales Leadership, Kingdom of Saudi Arabia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Purpose:</w:t>
      </w:r>
      <w:r>
        <w:t xml:space="preserve"> </w:t>
      </w:r>
      <w:r>
        <w:t xml:space="preserve">Performance review of "Mathematician" educational software suite in Riyadh market</w:t>
      </w:r>
    </w:p>
    <w:bookmarkEnd w:id="20"/>
    <w:bookmarkStart w:id="21" w:name="executive-summary"/>
    <w:p>
      <w:pPr>
        <w:pStyle w:val="Heading2"/>
      </w:pPr>
      <w:r>
        <w:t xml:space="preserve">Executive Summary</w:t>
      </w:r>
    </w:p>
    <w:p>
      <w:pPr>
        <w:pStyle w:val="FirstParagraph"/>
      </w:pPr>
      <w:r>
        <w:t xml:space="preserve">The</w:t>
      </w:r>
      <w:r>
        <w:t xml:space="preserve"> </w:t>
      </w:r>
      <w:r>
        <w:rPr>
          <w:iCs/>
          <w:i/>
        </w:rPr>
        <w:t xml:space="preserve">Mathematician</w:t>
      </w:r>
      <w:r>
        <w:t xml:space="preserve"> </w:t>
      </w:r>
      <w:r>
        <w:t xml:space="preserve">sales initiative has demonstrated remarkable traction in Riyadh's education technology sector during Q3 2023. This Sales Report documents a 147% year-over-year revenue increase, with Riyadh emerging as the Kingdom's leading market for our premium mathematics learning platform. The success stems from strategic alignment with Saudi Vision 2030's educational transformation goals and targeted partnerships across Riyadh's public and private school networks.</w:t>
      </w:r>
    </w:p>
    <w:p>
      <w:pPr>
        <w:pStyle w:val="BodyText"/>
      </w:pPr>
      <w:r>
        <w:t xml:space="preserve">Key highlights include securing contracts with 85 schools (up from 32 in Q2), achieving a 94% client retention rate, and establishing</w:t>
      </w:r>
      <w:r>
        <w:t xml:space="preserve"> </w:t>
      </w:r>
      <w:r>
        <w:rPr>
          <w:iCs/>
          <w:i/>
        </w:rPr>
        <w:t xml:space="preserve">Mathematician</w:t>
      </w:r>
      <w:r>
        <w:t xml:space="preserve"> </w:t>
      </w:r>
      <w:r>
        <w:t xml:space="preserve">as the preferred STEM solution among Riyadh's Ministry of Education-approved vendors. These results validate our market-entry strategy for</w:t>
      </w:r>
      <w:r>
        <w:t xml:space="preserve"> </w:t>
      </w:r>
      <w:r>
        <w:rPr>
          <w:bCs/>
          <w:b/>
        </w:rPr>
        <w:t xml:space="preserve">Saudi Arabia Riyadh</w:t>
      </w:r>
      <w:r>
        <w:t xml:space="preserve">, where demand for AI-driven mathematics education has surged by 210% since 2021.</w:t>
      </w:r>
    </w:p>
    <w:bookmarkEnd w:id="21"/>
    <w:bookmarkStart w:id="22" w:name="X1388a89e9765209ef48807951b8cde84c75e9af"/>
    <w:p>
      <w:pPr>
        <w:pStyle w:val="Heading2"/>
      </w:pPr>
      <w:r>
        <w:t xml:space="preserve">Market Context: Riyadh's Educational Transformation</w:t>
      </w:r>
    </w:p>
    <w:p>
      <w:pPr>
        <w:pStyle w:val="FirstParagraph"/>
      </w:pPr>
      <w:r>
        <w:t xml:space="preserve">Riyadh, as the political and economic heart of</w:t>
      </w:r>
      <w:r>
        <w:t xml:space="preserve"> </w:t>
      </w:r>
      <w:r>
        <w:rPr>
          <w:bCs/>
          <w:b/>
        </w:rPr>
        <w:t xml:space="preserve">Saudi Arabia</w:t>
      </w:r>
      <w:r>
        <w:t xml:space="preserve">, represents a $4.7 billion education technology market with unprecedented government investment. The Ministry of Education's "National Strategy for STEM Education" has accelerated demand for innovative teaching tools like our</w:t>
      </w:r>
      <w:r>
        <w:t xml:space="preserve"> </w:t>
      </w:r>
      <w:r>
        <w:rPr>
          <w:iCs/>
          <w:i/>
        </w:rPr>
        <w:t xml:space="preserve">Mathematician</w:t>
      </w:r>
      <w:r>
        <w:t xml:space="preserve"> </w:t>
      </w:r>
      <w:r>
        <w:t xml:space="preserve">platform, which uses adaptive AI to personalize K-12 mathematics instruction.</w:t>
      </w:r>
    </w:p>
    <w:p>
      <w:pPr>
        <w:pStyle w:val="BodyText"/>
      </w:pPr>
      <w:r>
        <w:t xml:space="preserve">This strategic alignment has been critical. During Q3, 78% of new contracts were secured through direct Ministry channels after demonstration sessions at the Riyadh International Exhibition Center. The platform's Arabic-language interface—developed specifically for</w:t>
      </w:r>
      <w:r>
        <w:t xml:space="preserve"> </w:t>
      </w:r>
      <w:r>
        <w:rPr>
          <w:bCs/>
          <w:b/>
        </w:rPr>
        <w:t xml:space="preserve">Saudi Arabia Riyadh</w:t>
      </w:r>
      <w:r>
        <w:t xml:space="preserve"> </w:t>
      </w:r>
      <w:r>
        <w:t xml:space="preserve">educators—was cited as the decisive factor in winning major contracts with schools in Diplomatic Quarter and King Abdullah Financial District.</w:t>
      </w:r>
    </w:p>
    <w:bookmarkEnd w:id="22"/>
    <w:bookmarkStart w:id="24" w:name="q3-sales-performance-analysis"/>
    <w:p>
      <w:pPr>
        <w:pStyle w:val="Heading2"/>
      </w:pPr>
      <w:r>
        <w:t xml:space="preserve">Q3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rPr>
                <w:bCs/>
                <w:b/>
              </w:rPr>
              <w:t xml:space="preserve">Total Revenue (SAR)</w:t>
            </w:r>
          </w:p>
        </w:tc>
        <w:tc>
          <w:tcPr/>
          <w:p>
            <w:pPr>
              <w:pStyle w:val="Compact"/>
              <w:jc w:val="left"/>
            </w:pPr>
            <w:r>
              <w:t xml:space="preserve">18,750,000</w:t>
            </w:r>
          </w:p>
        </w:tc>
        <w:tc>
          <w:tcPr/>
          <w:p>
            <w:pPr>
              <w:pStyle w:val="Compact"/>
              <w:jc w:val="left"/>
            </w:pPr>
            <w:r>
              <w:t xml:space="preserve">7,625,000</w:t>
            </w:r>
          </w:p>
        </w:tc>
        <w:tc>
          <w:tcPr/>
          <w:p>
            <w:pPr>
              <w:pStyle w:val="Compact"/>
              <w:jc w:val="left"/>
            </w:pPr>
            <w:r>
              <w:t xml:space="preserve">+147%</w:t>
            </w:r>
          </w:p>
        </w:tc>
      </w:tr>
      <w:tr>
        <w:tc>
          <w:tcPr/>
          <w:p>
            <w:pPr>
              <w:pStyle w:val="Compact"/>
              <w:jc w:val="left"/>
            </w:pPr>
            <w:r>
              <w:rPr>
                <w:bCs/>
                <w:b/>
              </w:rPr>
              <w:t xml:space="preserve">New School Contracts</w:t>
            </w:r>
          </w:p>
        </w:tc>
        <w:tc>
          <w:tcPr/>
          <w:p>
            <w:pPr>
              <w:pStyle w:val="Compact"/>
              <w:jc w:val="left"/>
            </w:pPr>
            <w:r>
              <w:t xml:space="preserve">85</w:t>
            </w:r>
          </w:p>
        </w:tc>
        <w:tc>
          <w:tcPr/>
          <w:p>
            <w:pPr>
              <w:pStyle w:val="Compact"/>
              <w:jc w:val="left"/>
            </w:pPr>
            <w:r>
              <w:t xml:space="preserve">32</w:t>
            </w:r>
          </w:p>
        </w:tc>
        <w:tc>
          <w:tcPr/>
          <w:p>
            <w:pPr>
              <w:pStyle w:val="Compact"/>
              <w:jc w:val="left"/>
            </w:pPr>
            <w:r>
              <w:t xml:space="preserve">+165%</w:t>
            </w:r>
          </w:p>
        </w:tc>
      </w:tr>
      <w:tr>
        <w:tc>
          <w:tcPr/>
          <w:p>
            <w:pPr>
              <w:pStyle w:val="Compact"/>
              <w:jc w:val="left"/>
            </w:pPr>
            <w:r>
              <w:rPr>
                <w:bCs/>
                <w:b/>
              </w:rPr>
              <w:t xml:space="preserve">Riyadh Market Share</w:t>
            </w:r>
          </w:p>
        </w:tc>
        <w:tc>
          <w:tcPr/>
          <w:p>
            <w:pPr>
              <w:pStyle w:val="Compact"/>
              <w:jc w:val="left"/>
            </w:pPr>
            <w:r>
              <w:t xml:space="preserve">41%</w:t>
            </w:r>
          </w:p>
        </w:tc>
        <w:tc>
          <w:tcPr/>
          <w:p>
            <w:pPr>
              <w:pStyle w:val="Compact"/>
              <w:jc w:val="left"/>
            </w:pPr>
            <w:r>
              <w:t xml:space="preserve">19%</w:t>
            </w:r>
          </w:p>
        </w:tc>
        <w:tc>
          <w:tcPr/>
          <w:p>
            <w:pPr>
              <w:pStyle w:val="Compact"/>
              <w:jc w:val="left"/>
            </w:pPr>
            <w:r>
              <w:t xml:space="preserve">+22 pts</w:t>
            </w:r>
          </w:p>
        </w:tc>
      </w:tr>
      <w:tr>
        <w:tc>
          <w:tcPr/>
          <w:p>
            <w:pPr>
              <w:pStyle w:val="Compact"/>
              <w:jc w:val="left"/>
            </w:pPr>
            <w:r>
              <w:rPr>
                <w:bCs/>
                <w:b/>
              </w:rPr>
              <w:t xml:space="preserve">CAC (Customer Acquisition Cost)</w:t>
            </w:r>
          </w:p>
        </w:tc>
        <w:tc>
          <w:tcPr/>
          <w:p>
            <w:pPr>
              <w:pStyle w:val="Compact"/>
              <w:jc w:val="left"/>
            </w:pPr>
            <w:r>
              <w:t xml:space="preserve">SAR 6,800</w:t>
            </w:r>
          </w:p>
        </w:tc>
        <w:tc>
          <w:tcPr/>
          <w:p>
            <w:pPr>
              <w:pStyle w:val="Compact"/>
              <w:jc w:val="left"/>
            </w:pPr>
            <w:r>
              <w:t xml:space="preserve">SAR 14,500</w:t>
            </w:r>
          </w:p>
        </w:tc>
        <w:tc>
          <w:tcPr/>
          <w:p>
            <w:pPr>
              <w:pStyle w:val="Compact"/>
              <w:jc w:val="left"/>
            </w:pPr>
            <w:r>
              <w:t xml:space="preserve">-53%</w:t>
            </w:r>
          </w:p>
        </w:tc>
      </w:tr>
    </w:tbl>
    <w:bookmarkStart w:id="23" w:name="key-growth-drivers"/>
    <w:p>
      <w:pPr>
        <w:pStyle w:val="Heading3"/>
      </w:pPr>
      <w:r>
        <w:t xml:space="preserve">Key Growth Drivers</w:t>
      </w:r>
    </w:p>
    <w:p>
      <w:pPr>
        <w:numPr>
          <w:ilvl w:val="0"/>
          <w:numId w:val="1001"/>
        </w:numPr>
        <w:pStyle w:val="Compact"/>
      </w:pPr>
      <w:r>
        <w:rPr>
          <w:bCs/>
          <w:b/>
        </w:rPr>
        <w:t xml:space="preserve">Ministry Partnership Program:</w:t>
      </w:r>
      <w:r>
        <w:t xml:space="preserve"> </w:t>
      </w:r>
      <w:r>
        <w:t xml:space="preserve">Exclusive licensing agreement with Riyadh Education Directorate for K-9 mathematics curriculum integration, generating SAR 8.2M in new revenue.</w:t>
      </w:r>
    </w:p>
    <w:p>
      <w:pPr>
        <w:numPr>
          <w:ilvl w:val="0"/>
          <w:numId w:val="1001"/>
        </w:numPr>
        <w:pStyle w:val="Compact"/>
      </w:pPr>
      <w:r>
        <w:rPr>
          <w:bCs/>
          <w:b/>
        </w:rPr>
        <w:t xml:space="preserve">Cultural Localization:</w:t>
      </w:r>
      <w:r>
        <w:t xml:space="preserve"> </w:t>
      </w:r>
      <w:r>
        <w:t xml:space="preserve">Development of Saudi-specific math problems (e.g., geometry using traditional architecture patterns) and Arabic dialect support (Najdi, Hejazi) that resonated with teachers.</w:t>
      </w:r>
    </w:p>
    <w:p>
      <w:pPr>
        <w:numPr>
          <w:ilvl w:val="0"/>
          <w:numId w:val="1001"/>
        </w:numPr>
        <w:pStyle w:val="Compact"/>
      </w:pPr>
      <w:r>
        <w:rPr>
          <w:bCs/>
          <w:b/>
        </w:rPr>
        <w:t xml:space="preserve">High-Value Enterprise Sales:</w:t>
      </w:r>
      <w:r>
        <w:t xml:space="preserve"> </w:t>
      </w:r>
      <w:r>
        <w:t xml:space="preserve">Contract with Riyadh-based</w:t>
      </w:r>
      <w:r>
        <w:t xml:space="preserve"> </w:t>
      </w:r>
      <w:r>
        <w:rPr>
          <w:iCs/>
          <w:i/>
        </w:rPr>
        <w:t xml:space="preserve">SABIC Academy</w:t>
      </w:r>
      <w:r>
        <w:t xml:space="preserve"> </w:t>
      </w:r>
      <w:r>
        <w:t xml:space="preserve">for 15,000 student licenses—a first for our platform in KSA's corporate training sector.</w:t>
      </w:r>
    </w:p>
    <w:bookmarkEnd w:id="23"/>
    <w:bookmarkEnd w:id="24"/>
    <w:bookmarkStart w:id="25" w:name="challenges-and-strategic-response"/>
    <w:p>
      <w:pPr>
        <w:pStyle w:val="Heading2"/>
      </w:pPr>
      <w:r>
        <w:t xml:space="preserve">Challenges and Strategic Response</w:t>
      </w:r>
    </w:p>
    <w:p>
      <w:pPr>
        <w:pStyle w:val="FirstParagraph"/>
      </w:pPr>
      <w:r>
        <w:t xml:space="preserve">Despite strong growth, two challenges required immediate action. First, initial resistance from some Riyadh teachers regarding AI integration was overcome through "Mathematician Ambassador" training programs at King Saud University. Second, payment delays from government contracts (a common industry issue in</w:t>
      </w:r>
      <w:r>
        <w:t xml:space="preserve"> </w:t>
      </w:r>
      <w:r>
        <w:rPr>
          <w:bCs/>
          <w:b/>
        </w:rPr>
        <w:t xml:space="preserve">Saudi Arabia Riyadh</w:t>
      </w:r>
      <w:r>
        <w:t xml:space="preserve">) were addressed with a dedicated finance team stationed in the Capital Economic City office.</w:t>
      </w:r>
    </w:p>
    <w:p>
      <w:pPr>
        <w:pStyle w:val="BodyText"/>
      </w:pPr>
      <w:r>
        <w:t xml:space="preserve">Our response to these challenges directly impacted Q3 results: teacher training sessions boosted adoption rates by 37%, while the local finance team reduced payment cycles from 120 to 45 days. This operational refinement has become a benchmark for our Saudi market strategy.</w:t>
      </w:r>
    </w:p>
    <w:bookmarkEnd w:id="25"/>
    <w:bookmarkStart w:id="26" w:name="competitive-landscape-in-riyadh"/>
    <w:p>
      <w:pPr>
        <w:pStyle w:val="Heading2"/>
      </w:pPr>
      <w:r>
        <w:t xml:space="preserve">Competitive Landscape in Riyadh</w:t>
      </w:r>
    </w:p>
    <w:p>
      <w:pPr>
        <w:pStyle w:val="FirstParagraph"/>
      </w:pPr>
      <w:r>
        <w:t xml:space="preserve">Riyadh's education technology market features intense competition from global players like Khan Academy and local startups. However,</w:t>
      </w:r>
      <w:r>
        <w:t xml:space="preserve"> </w:t>
      </w:r>
      <w:r>
        <w:rPr>
          <w:iCs/>
          <w:i/>
        </w:rPr>
        <w:t xml:space="preserve">Mathematician</w:t>
      </w:r>
      <w:r>
        <w:t xml:space="preserve">'s competitive edge in the</w:t>
      </w:r>
      <w:r>
        <w:t xml:space="preserve"> </w:t>
      </w:r>
      <w:r>
        <w:rPr>
          <w:bCs/>
          <w:b/>
        </w:rPr>
        <w:t xml:space="preserve">Saudi Arabia Riyadh</w:t>
      </w:r>
      <w:r>
        <w:t xml:space="preserve"> </w:t>
      </w:r>
      <w:r>
        <w:t xml:space="preserve">context is threefold:</w:t>
      </w:r>
    </w:p>
    <w:p>
      <w:pPr>
        <w:numPr>
          <w:ilvl w:val="0"/>
          <w:numId w:val="1002"/>
        </w:numPr>
        <w:pStyle w:val="Compact"/>
      </w:pPr>
      <w:r>
        <w:rPr>
          <w:bCs/>
          <w:b/>
        </w:rPr>
        <w:t xml:space="preserve">Cultural Intelligence:</w:t>
      </w:r>
      <w:r>
        <w:t xml:space="preserve"> </w:t>
      </w:r>
      <w:r>
        <w:t xml:space="preserve">Platform features Islamic geometric patterns in problem sets and aligns with Saudi curriculum standards (e.g., "Tawhid" principles in math applications).</w:t>
      </w:r>
    </w:p>
    <w:p>
      <w:pPr>
        <w:numPr>
          <w:ilvl w:val="0"/>
          <w:numId w:val="1002"/>
        </w:numPr>
        <w:pStyle w:val="Compact"/>
      </w:pPr>
      <w:r>
        <w:rPr>
          <w:bCs/>
          <w:b/>
        </w:rPr>
        <w:t xml:space="preserve">Government Certification:</w:t>
      </w:r>
      <w:r>
        <w:t xml:space="preserve"> </w:t>
      </w:r>
      <w:r>
        <w:t xml:space="preserve">First foreign edtech platform to receive MOE's "Approved Educational Tool" certification for mathematics (valid through 2026).</w:t>
      </w:r>
    </w:p>
    <w:p>
      <w:pPr>
        <w:numPr>
          <w:ilvl w:val="0"/>
          <w:numId w:val="1002"/>
        </w:numPr>
        <w:pStyle w:val="Compact"/>
      </w:pPr>
      <w:r>
        <w:rPr>
          <w:bCs/>
          <w:b/>
        </w:rPr>
        <w:t xml:space="preserve">Local Support Ecosystem:</w:t>
      </w:r>
      <w:r>
        <w:t xml:space="preserve"> </w:t>
      </w:r>
      <w:r>
        <w:t xml:space="preserve">12 Riyadh-based technical support staff providing real-time assistance during school hours (3:00 PM–8:00 PM GST), critical for Saudi classroom schedules.</w:t>
      </w:r>
    </w:p>
    <w:bookmarkEnd w:id="26"/>
    <w:bookmarkStart w:id="27" w:name="future-outlook-strategic-recommendations"/>
    <w:p>
      <w:pPr>
        <w:pStyle w:val="Heading2"/>
      </w:pPr>
      <w:r>
        <w:t xml:space="preserve">Future Outlook &amp; Strategic Recommendations</w:t>
      </w:r>
    </w:p>
    <w:p>
      <w:pPr>
        <w:pStyle w:val="FirstParagraph"/>
      </w:pPr>
      <w:r>
        <w:t xml:space="preserve">Building on Q3 success, we project 185% YoY growth in Riyadh for Q4 through three initiatives:</w:t>
      </w:r>
    </w:p>
    <w:p>
      <w:pPr>
        <w:numPr>
          <w:ilvl w:val="0"/>
          <w:numId w:val="1003"/>
        </w:numPr>
        <w:pStyle w:val="Compact"/>
      </w:pPr>
      <w:r>
        <w:rPr>
          <w:bCs/>
          <w:b/>
        </w:rPr>
        <w:t xml:space="preserve">Expansion to Female Education Centers:</w:t>
      </w:r>
      <w:r>
        <w:t xml:space="preserve"> </w:t>
      </w:r>
      <w:r>
        <w:t xml:space="preserve">Targeting 25 new contracts with Saudi Women's University and Girls' Schools network.</w:t>
      </w:r>
    </w:p>
    <w:p>
      <w:pPr>
        <w:numPr>
          <w:ilvl w:val="0"/>
          <w:numId w:val="1003"/>
        </w:numPr>
        <w:pStyle w:val="Compact"/>
      </w:pPr>
      <w:r>
        <w:rPr>
          <w:bCs/>
          <w:b/>
        </w:rPr>
        <w:t xml:space="preserve">Saudi Vision 2030 Integration:</w:t>
      </w:r>
      <w:r>
        <w:t xml:space="preserve"> </w:t>
      </w:r>
      <w:r>
        <w:t xml:space="preserve">Developing "Mathematician for Industry" modules aligned with NEOM and Red Sea Project STEM requirements.</w:t>
      </w:r>
    </w:p>
    <w:p>
      <w:pPr>
        <w:numPr>
          <w:ilvl w:val="0"/>
          <w:numId w:val="1003"/>
        </w:numPr>
        <w:pStyle w:val="Compact"/>
      </w:pPr>
      <w:r>
        <w:rPr>
          <w:bCs/>
          <w:b/>
        </w:rPr>
        <w:t xml:space="preserve">Mobile-First Strategy:</w:t>
      </w:r>
      <w:r>
        <w:t xml:space="preserve"> </w:t>
      </w:r>
      <w:r>
        <w:t xml:space="preserve">Launching a lightweight version compatible with low-bandwidth devices used in rural Riyadh schools.</w:t>
      </w:r>
    </w:p>
    <w:p>
      <w:pPr>
        <w:pStyle w:val="FirstParagraph"/>
      </w:pPr>
      <w:r>
        <w:t xml:space="preserve">We recommend increasing the Riyadh sales team by 40% to support this pipeline, prioritizing Arabic-speaking STEM educators. This investment will position</w:t>
      </w:r>
      <w:r>
        <w:t xml:space="preserve"> </w:t>
      </w:r>
      <w:r>
        <w:rPr>
          <w:iCs/>
          <w:i/>
        </w:rPr>
        <w:t xml:space="preserve">Mathematician</w:t>
      </w:r>
      <w:r>
        <w:t xml:space="preserve"> </w:t>
      </w:r>
      <w:r>
        <w:t xml:space="preserve">as the undisputed leader in Saudi mathematics education—directly supporting national economic diversification goals.</w:t>
      </w:r>
    </w:p>
    <w:bookmarkEnd w:id="27"/>
    <w:bookmarkStart w:id="28" w:name="conclusion"/>
    <w:p>
      <w:pPr>
        <w:pStyle w:val="Heading2"/>
      </w:pPr>
      <w:r>
        <w:t xml:space="preserve">Conclusion</w:t>
      </w:r>
    </w:p>
    <w:p>
      <w:pPr>
        <w:pStyle w:val="FirstParagraph"/>
      </w:pPr>
      <w:r>
        <w:t xml:space="preserve">The Q3 performance of our</w:t>
      </w:r>
      <w:r>
        <w:t xml:space="preserve"> </w:t>
      </w:r>
      <w:r>
        <w:rPr>
          <w:iCs/>
          <w:i/>
        </w:rPr>
        <w:t xml:space="preserve">Mathematician</w:t>
      </w:r>
      <w:r>
        <w:t xml:space="preserve"> </w:t>
      </w:r>
      <w:r>
        <w:t xml:space="preserve">platform in Riyadh underscores a transformative opportunity for education technology in</w:t>
      </w:r>
      <w:r>
        <w:t xml:space="preserve"> </w:t>
      </w:r>
      <w:r>
        <w:rPr>
          <w:bCs/>
          <w:b/>
        </w:rPr>
        <w:t xml:space="preserve">Saudi Arabia</w:t>
      </w:r>
      <w:r>
        <w:t xml:space="preserve">. With the Kingdom's $1.2 billion annual education tech investment, we've established not just market presence but strategic relevance. Our solution isn't merely selling software—it's enabling Saudi Arabia's mathematical excellence journey.</w:t>
      </w:r>
    </w:p>
    <w:p>
      <w:pPr>
        <w:pStyle w:val="BodyText"/>
      </w:pPr>
      <w:r>
        <w:t xml:space="preserve">As Riyadh accelerates toward becoming a global education hub,</w:t>
      </w:r>
      <w:r>
        <w:t xml:space="preserve"> </w:t>
      </w:r>
      <w:r>
        <w:rPr>
          <w:iCs/>
          <w:i/>
        </w:rPr>
        <w:t xml:space="preserve">Mathematician</w:t>
      </w:r>
      <w:r>
        <w:t xml:space="preserve">'s success proves that culturally intelligent products aligned with national vision outperform generic solutions. This Sales Report affirms our path to becoming the region's most trusted mathematics education partner—and a critical catalyst for Saudi Vision 2030's human capital goals.</w:t>
      </w:r>
    </w:p>
    <w:p>
      <w:pPr>
        <w:pStyle w:val="BodyText"/>
      </w:pPr>
      <w:r>
        <w:rPr>
          <w:bCs/>
          <w:b/>
        </w:rPr>
        <w:t xml:space="preserve">Prepared By:</w:t>
      </w:r>
      <w:r>
        <w:t xml:space="preserve"> </w:t>
      </w:r>
      <w:r>
        <w:t xml:space="preserve">Regional Sales Analytics Team | Kingdom of Saudi Arabia</w:t>
      </w:r>
      <w:r>
        <w:br/>
      </w:r>
      <w:r>
        <w:rPr>
          <w:bCs/>
          <w:b/>
        </w:rPr>
        <w:t xml:space="preserve">Contact:</w:t>
      </w:r>
      <w:r>
        <w:t xml:space="preserve"> </w:t>
      </w:r>
      <w:r>
        <w:t xml:space="preserve">RiyadhSales@mathematician-edu.com | +966 11 XXX 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Riyadh, Saudi Arabia</dc:title>
  <dc:creator/>
  <dc:language>en</dc:language>
  <cp:keywords/>
  <dcterms:created xsi:type="dcterms:W3CDTF">2025-12-11T05:46:05Z</dcterms:created>
  <dcterms:modified xsi:type="dcterms:W3CDTF">2025-12-11T05:46:05Z</dcterms:modified>
</cp:coreProperties>
</file>

<file path=docProps/custom.xml><?xml version="1.0" encoding="utf-8"?>
<Properties xmlns="http://schemas.openxmlformats.org/officeDocument/2006/custom-properties" xmlns:vt="http://schemas.openxmlformats.org/officeDocument/2006/docPropsVTypes"/>
</file>