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30" w:name="X74443f9484e85b661451663e0f547327d0c545d"/>
    <w:p>
      <w:pPr>
        <w:pStyle w:val="Heading1"/>
      </w:pPr>
      <w:r>
        <w:t xml:space="preserve">Mathematician Sales Performance Report: Spain Barcelona Market (Q3 2024)</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Global Executive Team |</w:t>
      </w:r>
      <w:r>
        <w:t xml:space="preserve"> </w:t>
      </w:r>
      <w:r>
        <w:rPr>
          <w:bCs/>
          <w:b/>
        </w:rPr>
        <w:t xml:space="preserve">Region Covered:</w:t>
      </w:r>
      <w:r>
        <w:t xml:space="preserve"> </w:t>
      </w:r>
      <w:r>
        <w:t xml:space="preserve">Spain Barcelona</w:t>
      </w:r>
    </w:p>
    <w:bookmarkStart w:id="20" w:name="purpose-clarification-of-scope"/>
    <w:p>
      <w:pPr>
        <w:pStyle w:val="Heading2"/>
      </w:pPr>
      <w:r>
        <w:t xml:space="preserve">Purpose &amp; Clarification of Scope</w:t>
      </w:r>
    </w:p>
    <w:p>
      <w:pPr>
        <w:pStyle w:val="FirstParagraph"/>
      </w:pPr>
      <w:r>
        <w:t xml:space="preserve">This Sales Report documents the commercial performance of "Mathematician" - our specialized educational and consultancy service package delivered by certified mathematical professionals. The term "Mathematician" here refers to our premium offering where expert mathematicians provide tailored solutions for businesses, academic institutions, and government entities across Barcelona. This report details revenue streams, market penetration strategies, client acquisition in Spain's most dynamic city (Barcelona), and future growth opportunities specific to the</w:t>
      </w:r>
      <w:r>
        <w:t xml:space="preserve"> </w:t>
      </w:r>
      <w:r>
        <w:rPr>
          <w:bCs/>
          <w:b/>
        </w:rPr>
        <w:t xml:space="preserve">Spain Barcelona</w:t>
      </w:r>
      <w:r>
        <w:t xml:space="preserve"> </w:t>
      </w:r>
      <w:r>
        <w:t xml:space="preserve">ecosystem.</w:t>
      </w:r>
    </w:p>
    <w:p>
      <w:pPr>
        <w:pStyle w:val="BodyText"/>
      </w:pPr>
      <w:r>
        <w:rPr>
          <w:bCs/>
          <w:b/>
        </w:rPr>
        <w:t xml:space="preserve">Key Clarification:</w:t>
      </w:r>
      <w:r>
        <w:t xml:space="preserve"> </w:t>
      </w:r>
      <w:r>
        <w:t xml:space="preserve">The "Mathematician" service is not a person but a comprehensive suite of services led by our mathematicians. This distinction is crucial for understanding our sales positioning in the</w:t>
      </w:r>
      <w:r>
        <w:t xml:space="preserve"> </w:t>
      </w:r>
      <w:r>
        <w:rPr>
          <w:iCs/>
          <w:i/>
        </w:rPr>
        <w:t xml:space="preserve">Spain Barcelona</w:t>
      </w:r>
      <w:r>
        <w:t xml:space="preserve"> </w:t>
      </w:r>
      <w:r>
        <w:t xml:space="preserve">market where clients seek mathematical expertise, not individual consultants.</w:t>
      </w:r>
    </w:p>
    <w:bookmarkEnd w:id="20"/>
    <w:bookmarkStart w:id="21" w:name="X9bf4a8dcf1a1904a703280ae8bcbe4aaba711e8"/>
    <w:p>
      <w:pPr>
        <w:pStyle w:val="Heading2"/>
      </w:pPr>
      <w:r>
        <w:t xml:space="preserve">Market Context: Spain Barcelona's Demand for Mathematical Excellence</w:t>
      </w:r>
    </w:p>
    <w:p>
      <w:pPr>
        <w:pStyle w:val="FirstParagraph"/>
      </w:pPr>
      <w:r>
        <w:t xml:space="preserve">Barcelona has emerged as a pivotal hub for innovation in Europe, with strong demand from its tech ecosystem (including 1,800+ startups), universities (Universitat de Barcelona, UPC), and financial institutions. Our sales analysis reveals that 68% of businesses in the Barcelona metropolitan area now prioritize mathematical optimization for operational efficiency. The</w:t>
      </w:r>
      <w:r>
        <w:t xml:space="preserve"> </w:t>
      </w:r>
      <w:r>
        <w:rPr>
          <w:bCs/>
          <w:b/>
        </w:rPr>
        <w:t xml:space="preserve">Spain Barcelona</w:t>
      </w:r>
      <w:r>
        <w:t xml:space="preserve"> </w:t>
      </w:r>
      <w:r>
        <w:t xml:space="preserve">market's unique profile—combining Mediterranean business culture with cutting-edge tech adoption—has driven a 32% year-over-year increase in demand for specialized</w:t>
      </w:r>
      <w:r>
        <w:t xml:space="preserve"> </w:t>
      </w:r>
      <w:r>
        <w:rPr>
          <w:iCs/>
          <w:i/>
        </w:rPr>
        <w:t xml:space="preserve">Mathematician</w:t>
      </w:r>
      <w:r>
        <w:t xml:space="preserve"> </w:t>
      </w:r>
      <w:r>
        <w:t xml:space="preserve">services, particularly in fintech, logistics, and urban planning sectors.</w:t>
      </w:r>
    </w:p>
    <w:bookmarkEnd w:id="21"/>
    <w:bookmarkStart w:id="23" w:name="sales-performance-q3-2024-highlights"/>
    <w:p>
      <w:pPr>
        <w:pStyle w:val="Heading2"/>
      </w:pPr>
      <w:r>
        <w:t xml:space="preserve">Sales Performance: Q3 2024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 Value</w:t>
            </w:r>
          </w:p>
        </w:tc>
        <w:tc>
          <w:tcPr/>
          <w:p>
            <w:pPr>
              <w:pStyle w:val="Compact"/>
              <w:jc w:val="left"/>
            </w:pPr>
            <w:r>
              <w:t xml:space="preserve">Q3 2023 Value</w:t>
            </w:r>
          </w:p>
        </w:tc>
        <w:tc>
          <w:tcPr/>
          <w:p>
            <w:pPr>
              <w:pStyle w:val="Compact"/>
              <w:jc w:val="left"/>
            </w:pPr>
            <w:r>
              <w:t xml:space="preserve">% Change</w:t>
            </w:r>
          </w:p>
        </w:tc>
      </w:tr>
      <w:tr>
        <w:tc>
          <w:tcPr/>
          <w:p>
            <w:pPr>
              <w:pStyle w:val="Compact"/>
              <w:jc w:val="left"/>
            </w:pPr>
            <w:r>
              <w:t xml:space="preserve">Total Revenue (Spain Barcelona)</w:t>
            </w:r>
          </w:p>
        </w:tc>
        <w:tc>
          <w:tcPr/>
          <w:p>
            <w:pPr>
              <w:pStyle w:val="Compact"/>
              <w:jc w:val="left"/>
            </w:pPr>
            <w:r>
              <w:t xml:space="preserve">€1,875,000</w:t>
            </w:r>
          </w:p>
        </w:tc>
        <w:tc>
          <w:tcPr/>
          <w:p>
            <w:pPr>
              <w:pStyle w:val="Compact"/>
              <w:jc w:val="left"/>
            </w:pPr>
            <w:r>
              <w:t xml:space="preserve">€1,423,000</w:t>
            </w:r>
          </w:p>
        </w:tc>
        <w:tc>
          <w:tcPr/>
          <w:p>
            <w:pPr>
              <w:pStyle w:val="Compact"/>
              <w:jc w:val="left"/>
            </w:pPr>
            <w:r>
              <w:t xml:space="preserve">+31.7%</w:t>
            </w:r>
          </w:p>
        </w:tc>
      </w:tr>
      <w:tr>
        <w:tc>
          <w:tcPr/>
          <w:p>
            <w:pPr>
              <w:pStyle w:val="Compact"/>
              <w:jc w:val="left"/>
            </w:pPr>
            <w:r>
              <w:t xml:space="preserve">New Client Acquisition (Barcelona)</w:t>
            </w:r>
          </w:p>
        </w:tc>
        <w:tc>
          <w:tcPr/>
          <w:p>
            <w:pPr>
              <w:pStyle w:val="Compact"/>
              <w:jc w:val="left"/>
            </w:pPr>
            <w:r>
              <w:t xml:space="preserve">47</w:t>
            </w:r>
          </w:p>
        </w:tc>
        <w:tc>
          <w:tcPr/>
          <w:p>
            <w:pPr>
              <w:pStyle w:val="Compact"/>
              <w:jc w:val="left"/>
            </w:pPr>
            <w:r>
              <w:t xml:space="preserve">32</w:t>
            </w:r>
          </w:p>
        </w:tc>
        <w:tc>
          <w:tcPr/>
          <w:p>
            <w:pPr>
              <w:pStyle w:val="Compact"/>
              <w:jc w:val="left"/>
            </w:pPr>
            <w:r>
              <w:t xml:space="preserve">+46.9%</w:t>
            </w:r>
          </w:p>
        </w:tc>
      </w:tr>
      <w:tr>
        <w:tc>
          <w:tcPr/>
          <w:p>
            <w:pPr>
              <w:pStyle w:val="Compact"/>
              <w:jc w:val="left"/>
            </w:pPr>
            <w:r>
              <w:t xml:space="preserve">Average Deal Size</w:t>
            </w:r>
          </w:p>
        </w:tc>
        <w:tc>
          <w:tcPr/>
          <w:p>
            <w:pPr>
              <w:pStyle w:val="Compact"/>
              <w:jc w:val="left"/>
            </w:pPr>
            <w:r>
              <w:t xml:space="preserve">€39,890</w:t>
            </w:r>
          </w:p>
        </w:tc>
        <w:tc>
          <w:tcPr/>
          <w:p>
            <w:pPr>
              <w:pStyle w:val="Compact"/>
              <w:jc w:val="left"/>
            </w:pPr>
            <w:r>
              <w:t xml:space="preserve">€35,120</w:t>
            </w:r>
          </w:p>
        </w:tc>
        <w:tc>
          <w:tcPr/>
          <w:p>
            <w:pPr>
              <w:pStyle w:val="Compact"/>
              <w:jc w:val="left"/>
            </w:pPr>
            <w:r>
              <w:t xml:space="preserve">+13.6%</w:t>
            </w:r>
          </w:p>
        </w:tc>
      </w:tr>
      <w:tr>
        <w:tc>
          <w:tcPr/>
          <w:p>
            <w:pPr>
              <w:pStyle w:val="Compact"/>
              <w:jc w:val="left"/>
            </w:pPr>
            <w:r>
              <w:t xml:space="preserve">Client Retention Rate (Barcelona)</w:t>
            </w:r>
          </w:p>
        </w:tc>
        <w:tc>
          <w:tcPr/>
          <w:p>
            <w:pPr>
              <w:pStyle w:val="Compact"/>
              <w:jc w:val="left"/>
            </w:pPr>
            <w:r>
              <w:t xml:space="preserve">89%</w:t>
            </w:r>
          </w:p>
        </w:tc>
        <w:tc>
          <w:tcPr/>
          <w:p>
            <w:pPr>
              <w:pStyle w:val="Compact"/>
              <w:jc w:val="left"/>
            </w:pPr>
            <w:r>
              <w:t xml:space="preserve">84%</w:t>
            </w:r>
          </w:p>
        </w:tc>
        <w:tc>
          <w:tcPr/>
          <w:p>
            <w:pPr>
              <w:pStyle w:val="Compact"/>
              <w:jc w:val="left"/>
            </w:pPr>
            <w:r>
              <w:t xml:space="preserve">+5.0%</w:t>
            </w:r>
          </w:p>
        </w:tc>
      </w:tr>
    </w:tbl>
    <w:bookmarkStart w:id="22" w:name="growth-drivers-in-spain-barcelona"/>
    <w:p>
      <w:pPr>
        <w:pStyle w:val="Heading3"/>
      </w:pPr>
      <w:r>
        <w:t xml:space="preserve">Growth Drivers in Spain Barcelona</w:t>
      </w:r>
    </w:p>
    <w:p>
      <w:pPr>
        <w:pStyle w:val="FirstParagraph"/>
      </w:pPr>
      <w:r>
        <w:t xml:space="preserve">The 31.7% revenue surge reflects three strategic pillars:</w:t>
      </w:r>
    </w:p>
    <w:p>
      <w:pPr>
        <w:numPr>
          <w:ilvl w:val="0"/>
          <w:numId w:val="1001"/>
        </w:numPr>
        <w:pStyle w:val="Compact"/>
      </w:pPr>
      <w:r>
        <w:rPr>
          <w:bCs/>
          <w:b/>
        </w:rPr>
        <w:t xml:space="preserve">Local Partnerships:</w:t>
      </w:r>
      <w:r>
        <w:t xml:space="preserve"> </w:t>
      </w:r>
      <w:r>
        <w:t xml:space="preserve">Collaborations with Barcelona-based entities like the Barcelona Supercomputing Center (BSC) and Telefónica Tech have generated €650K in new contracts, positioning our</w:t>
      </w:r>
      <w:r>
        <w:t xml:space="preserve"> </w:t>
      </w:r>
      <w:r>
        <w:rPr>
          <w:iCs/>
          <w:i/>
        </w:rPr>
        <w:t xml:space="preserve">Mathematician</w:t>
      </w:r>
      <w:r>
        <w:t xml:space="preserve"> </w:t>
      </w:r>
      <w:r>
        <w:t xml:space="preserve">service as essential for data-driven initiatives.</w:t>
      </w:r>
    </w:p>
    <w:p>
      <w:pPr>
        <w:numPr>
          <w:ilvl w:val="0"/>
          <w:numId w:val="1001"/>
        </w:numPr>
        <w:pStyle w:val="Compact"/>
      </w:pPr>
      <w:r>
        <w:rPr>
          <w:bCs/>
          <w:b/>
        </w:rPr>
        <w:t xml:space="preserve">Cultural Alignment:</w:t>
      </w:r>
      <w:r>
        <w:t xml:space="preserve"> </w:t>
      </w:r>
      <w:r>
        <w:t xml:space="preserve">Our sales team in Barcelona (8 members fluent in Catalan/Spanish) adapts presentations to highlight how mathematical optimization solves local pain points—like reducing traffic congestion in Eixample district or optimizing tourism revenue models for Barceloneta's hospitality sector.</w:t>
      </w:r>
    </w:p>
    <w:p>
      <w:pPr>
        <w:numPr>
          <w:ilvl w:val="0"/>
          <w:numId w:val="1001"/>
        </w:numPr>
        <w:pStyle w:val="Compact"/>
      </w:pPr>
      <w:r>
        <w:rPr>
          <w:bCs/>
          <w:b/>
        </w:rPr>
        <w:t xml:space="preserve">Regulatory Tailoring:</w:t>
      </w:r>
      <w:r>
        <w:t xml:space="preserve"> </w:t>
      </w:r>
      <w:r>
        <w:t xml:space="preserve">We developed a GDPR-compliant analytics module specifically requested by Barcelona City Council, securing a €215K municipal contract to improve public service delivery through mathematical modeling.</w:t>
      </w:r>
    </w:p>
    <w:bookmarkEnd w:id="22"/>
    <w:bookmarkEnd w:id="23"/>
    <w:bookmarkStart w:id="26" w:name="X06be9f760f4c6341e9aec242237808bacb11963"/>
    <w:p>
      <w:pPr>
        <w:pStyle w:val="Heading2"/>
      </w:pPr>
      <w:r>
        <w:t xml:space="preserve">Client Success Stories: Spain Barcelona Impact</w:t>
      </w:r>
    </w:p>
    <w:bookmarkStart w:id="24" w:name="X6aaa56e1bdadf92ff70c8a688f78e45d0ea30b4"/>
    <w:p>
      <w:pPr>
        <w:pStyle w:val="Heading3"/>
      </w:pPr>
      <w:r>
        <w:t xml:space="preserve">Case Study 1: Urban Logistics Optimization</w:t>
      </w:r>
    </w:p>
    <w:p>
      <w:pPr>
        <w:pStyle w:val="FirstParagraph"/>
      </w:pPr>
      <w:r>
        <w:rPr>
          <w:iCs/>
          <w:i/>
        </w:rPr>
        <w:t xml:space="preserve">Client:</w:t>
      </w:r>
      <w:r>
        <w:t xml:space="preserve"> </w:t>
      </w:r>
      <w:r>
        <w:t xml:space="preserve">Mataró Delivery Network (Barcelona-based logistics firm)</w:t>
      </w:r>
    </w:p>
    <w:p>
      <w:pPr>
        <w:pStyle w:val="BodyText"/>
      </w:pPr>
      <w:r>
        <w:rPr>
          <w:iCs/>
          <w:i/>
        </w:rPr>
        <w:t xml:space="preserve">Solution:</w:t>
      </w:r>
      <w:r>
        <w:t xml:space="preserve"> </w:t>
      </w:r>
      <w:r>
        <w:t xml:space="preserve">Our mathematician team implemented route optimization algorithms reducing delivery times by 28% and fuel costs by €340K annually. The sales team in Barcelona secured this contract through a demo showing real-time traffic model adjustments for</w:t>
      </w:r>
      <w:r>
        <w:t xml:space="preserve"> </w:t>
      </w:r>
      <w:r>
        <w:rPr>
          <w:bCs/>
          <w:b/>
        </w:rPr>
        <w:t xml:space="preserve">Spain Barcelona</w:t>
      </w:r>
      <w:r>
        <w:t xml:space="preserve">'s complex urban landscape.</w:t>
      </w:r>
    </w:p>
    <w:bookmarkEnd w:id="24"/>
    <w:bookmarkStart w:id="25" w:name="case-study-2-fintech-risk-assessment"/>
    <w:p>
      <w:pPr>
        <w:pStyle w:val="Heading3"/>
      </w:pPr>
      <w:r>
        <w:t xml:space="preserve">Case Study 2: Fintech Risk Assessment</w:t>
      </w:r>
    </w:p>
    <w:p>
      <w:pPr>
        <w:pStyle w:val="FirstParagraph"/>
      </w:pPr>
      <w:r>
        <w:rPr>
          <w:iCs/>
          <w:i/>
        </w:rPr>
        <w:t xml:space="preserve">Client:</w:t>
      </w:r>
      <w:r>
        <w:t xml:space="preserve"> </w:t>
      </w:r>
      <w:r>
        <w:t xml:space="preserve">Bancaix, a Barcelona-based neobank</w:t>
      </w:r>
    </w:p>
    <w:p>
      <w:pPr>
        <w:pStyle w:val="BodyText"/>
      </w:pPr>
      <w:r>
        <w:rPr>
          <w:iCs/>
          <w:i/>
        </w:rPr>
        <w:t xml:space="preserve">Solution:</w:t>
      </w:r>
      <w:r>
        <w:t xml:space="preserve"> </w:t>
      </w:r>
      <w:r>
        <w:t xml:space="preserve">A bespoke risk modeling package developed by our mathematicians improved loan approval accuracy by 41%. The sales report highlights how the Barcelona team emphasized compliance with Spain's Bank of Spain regulations—a critical differentiator in the local market.</w:t>
      </w:r>
    </w:p>
    <w:bookmarkEnd w:id="25"/>
    <w:bookmarkEnd w:id="26"/>
    <w:bookmarkStart w:id="27" w:name="Xc42bd69d4208a64ea3d1568b8d0d8c9dbe6fff5"/>
    <w:p>
      <w:pPr>
        <w:pStyle w:val="Heading2"/>
      </w:pPr>
      <w:r>
        <w:t xml:space="preserve">Competitive Landscape: Why "Mathematician" Wins in Barcelona</w:t>
      </w:r>
    </w:p>
    <w:p>
      <w:pPr>
        <w:pStyle w:val="FirstParagraph"/>
      </w:pPr>
      <w:r>
        <w:t xml:space="preserve">In the crowded Spanish market, our</w:t>
      </w:r>
      <w:r>
        <w:t xml:space="preserve"> </w:t>
      </w:r>
      <w:r>
        <w:rPr>
          <w:iCs/>
          <w:i/>
        </w:rPr>
        <w:t xml:space="preserve">Mathematician</w:t>
      </w:r>
      <w:r>
        <w:t xml:space="preserve"> </w:t>
      </w:r>
      <w:r>
        <w:t xml:space="preserve">service stands out through:</w:t>
      </w:r>
    </w:p>
    <w:p>
      <w:pPr>
        <w:numPr>
          <w:ilvl w:val="0"/>
          <w:numId w:val="1002"/>
        </w:numPr>
        <w:pStyle w:val="Compact"/>
      </w:pPr>
      <w:r>
        <w:rPr>
          <w:bCs/>
          <w:b/>
        </w:rPr>
        <w:t xml:space="preserve">Hyper-Local Expertise:</w:t>
      </w:r>
      <w:r>
        <w:t xml:space="preserve"> </w:t>
      </w:r>
      <w:r>
        <w:t xml:space="preserve">Unlike global competitors, we maintain a Barcelona office with mathematicians who understand local business rhythms (e.g., summer slowdowns in tourism, Catalan business hours).</w:t>
      </w:r>
    </w:p>
    <w:p>
      <w:pPr>
        <w:numPr>
          <w:ilvl w:val="0"/>
          <w:numId w:val="1002"/>
        </w:numPr>
        <w:pStyle w:val="Compact"/>
      </w:pPr>
      <w:r>
        <w:rPr>
          <w:bCs/>
          <w:b/>
        </w:rPr>
        <w:t xml:space="preserve">Cultural Nuance:</w:t>
      </w:r>
      <w:r>
        <w:t xml:space="preserve"> </w:t>
      </w:r>
      <w:r>
        <w:t xml:space="preserve">Sales materials translated into Catalan for key clients, showing respect for regional identity—a factor cited by 76% of new Barcelona clients during onboarding.</w:t>
      </w:r>
    </w:p>
    <w:p>
      <w:pPr>
        <w:numPr>
          <w:ilvl w:val="0"/>
          <w:numId w:val="1002"/>
        </w:numPr>
        <w:pStyle w:val="Compact"/>
      </w:pPr>
      <w:r>
        <w:rPr>
          <w:bCs/>
          <w:b/>
        </w:rPr>
        <w:t xml:space="preserve">University Integration:</w:t>
      </w:r>
      <w:r>
        <w:t xml:space="preserve"> </w:t>
      </w:r>
      <w:r>
        <w:t xml:space="preserve">Partnerships with UPC's Department of Mathematics created a pipeline of talent and case studies relevant to Barcelona's academic community.</w:t>
      </w:r>
    </w:p>
    <w:bookmarkEnd w:id="27"/>
    <w:bookmarkStart w:id="28" w:name="X82a98c4f0d504269f35fe893d2b666fa272e133"/>
    <w:p>
      <w:pPr>
        <w:pStyle w:val="Heading2"/>
      </w:pPr>
      <w:r>
        <w:t xml:space="preserve">Strategic Recommendations for Spain Barcelona Growth</w:t>
      </w:r>
    </w:p>
    <w:p>
      <w:pPr>
        <w:pStyle w:val="FirstParagraph"/>
      </w:pPr>
      <w:r>
        <w:t xml:space="preserve">To capitalize on Barcelona’s momentum, we recommend:</w:t>
      </w:r>
    </w:p>
    <w:p>
      <w:pPr>
        <w:numPr>
          <w:ilvl w:val="0"/>
          <w:numId w:val="1003"/>
        </w:numPr>
        <w:pStyle w:val="Compact"/>
      </w:pPr>
      <w:r>
        <w:rPr>
          <w:bCs/>
          <w:b/>
        </w:rPr>
        <w:t xml:space="preserve">Launch a "Barcelona Math Innovation Hub":</w:t>
      </w:r>
      <w:r>
        <w:t xml:space="preserve"> </w:t>
      </w:r>
      <w:r>
        <w:t xml:space="preserve">A physical space at Plaça de Catalunya offering free workshops to local businesses—turning the city's mathematical reputation into a sales asset.</w:t>
      </w:r>
    </w:p>
    <w:p>
      <w:pPr>
        <w:numPr>
          <w:ilvl w:val="0"/>
          <w:numId w:val="1003"/>
        </w:numPr>
        <w:pStyle w:val="Compact"/>
      </w:pPr>
      <w:r>
        <w:rPr>
          <w:bCs/>
          <w:b/>
        </w:rPr>
        <w:t xml:space="preserve">Develop Catalan-Specific Analytics:</w:t>
      </w:r>
      <w:r>
        <w:t xml:space="preserve"> </w:t>
      </w:r>
      <w:r>
        <w:t xml:space="preserve">Create modules addressing unique Spanish market variables (e.g., seasonal retail patterns in Barceloneta, tourism peaks) to deepen</w:t>
      </w:r>
      <w:r>
        <w:t xml:space="preserve"> </w:t>
      </w:r>
      <w:r>
        <w:rPr>
          <w:bCs/>
          <w:b/>
        </w:rPr>
        <w:t xml:space="preserve">Spain Barcelona</w:t>
      </w:r>
      <w:r>
        <w:t xml:space="preserve"> </w:t>
      </w:r>
      <w:r>
        <w:t xml:space="preserve">relevance.</w:t>
      </w:r>
    </w:p>
    <w:p>
      <w:pPr>
        <w:numPr>
          <w:ilvl w:val="0"/>
          <w:numId w:val="1003"/>
        </w:numPr>
        <w:pStyle w:val="Compact"/>
      </w:pPr>
      <w:r>
        <w:rPr>
          <w:bCs/>
          <w:b/>
        </w:rPr>
        <w:t xml:space="preserve">Leverage Local Events:</w:t>
      </w:r>
      <w:r>
        <w:t xml:space="preserve"> </w:t>
      </w:r>
      <w:r>
        <w:t xml:space="preserve">Sponsor the International Mathematics Congress in Barcelona 2025 for direct client acquisition.</w:t>
      </w:r>
    </w:p>
    <w:bookmarkEnd w:id="28"/>
    <w:bookmarkStart w:id="29" w:name="Xee34dd47b4ccf06d9ffb695d4fe00720dbea48d"/>
    <w:p>
      <w:pPr>
        <w:pStyle w:val="Heading2"/>
      </w:pPr>
      <w:r>
        <w:t xml:space="preserve">Conclusion: The Math Advantage in Spain Barcelona</w:t>
      </w:r>
    </w:p>
    <w:p>
      <w:pPr>
        <w:pStyle w:val="FirstParagraph"/>
      </w:pPr>
      <w:r>
        <w:t xml:space="preserve">The</w:t>
      </w:r>
      <w:r>
        <w:t xml:space="preserve"> </w:t>
      </w:r>
      <w:r>
        <w:rPr>
          <w:iCs/>
          <w:i/>
        </w:rPr>
        <w:t xml:space="preserve">Mathematician</w:t>
      </w:r>
      <w:r>
        <w:t xml:space="preserve"> </w:t>
      </w:r>
      <w:r>
        <w:t xml:space="preserve">sales performance in Spain Barcelona is a testament to aligning mathematical expertise with local market needs. By reframing "mathematician" as the service name—not the provider—we've built a compelling commercial narrative that resonates deeply within Barcelona's innovation ecosystem. Our 31.7% growth proves that when specialized expertise meets hyper-local strategy, the</w:t>
      </w:r>
      <w:r>
        <w:t xml:space="preserve"> </w:t>
      </w:r>
      <w:r>
        <w:rPr>
          <w:bCs/>
          <w:b/>
        </w:rPr>
        <w:t xml:space="preserve">Spain Barcelona</w:t>
      </w:r>
      <w:r>
        <w:t xml:space="preserve"> </w:t>
      </w:r>
      <w:r>
        <w:t xml:space="preserve">market becomes a powerful engine for scalable revenue. As we enter Q4, we project €2.4M in Barcelona sales—solidifying our position as the region’s trusted mathematical partner.</w:t>
      </w:r>
    </w:p>
    <w:p>
      <w:pPr>
        <w:pStyle w:val="BodyText"/>
      </w:pPr>
      <w:r>
        <w:rPr>
          <w:bCs/>
          <w:b/>
        </w:rPr>
        <w:t xml:space="preserve">Final Note:</w:t>
      </w:r>
      <w:r>
        <w:t xml:space="preserve"> </w:t>
      </w:r>
      <w:r>
        <w:t xml:space="preserve">This report underscores that "Mathematician" is our brand of solutions, not personnel. In Spain Barcelona, this distinction has been critical for building trust in a market where businesses seek mathematical outcomes, not just individual consultants.</w:t>
      </w:r>
    </w:p>
    <w:p>
      <w:pPr>
        <w:pStyle w:val="BodyText"/>
      </w:pPr>
      <w:r>
        <w:t xml:space="preserve">This Sales Report (872 words) was compiled by Global Analytics Division | Data Sources: Barcelona Chamber of Commerce, Local Client Contracts, CRM System</w:t>
      </w:r>
    </w:p>
    <w:p>
      <w:pPr>
        <w:pStyle w:val="BodyText"/>
      </w:pPr>
      <w:r>
        <w:t xml:space="preserve">© 2024 Mathematician Solutions Group. All rights reserved for Spain Barcelona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Spain Barcelona Market</dc:title>
  <dc:creator/>
  <dc:language>en</dc:language>
  <cp:keywords/>
  <dcterms:created xsi:type="dcterms:W3CDTF">2026-07-21T13:05:03Z</dcterms:created>
  <dcterms:modified xsi:type="dcterms:W3CDTF">2026-07-21T13:05:03Z</dcterms:modified>
</cp:coreProperties>
</file>

<file path=docProps/custom.xml><?xml version="1.0" encoding="utf-8"?>
<Properties xmlns="http://schemas.openxmlformats.org/officeDocument/2006/custom-properties" xmlns:vt="http://schemas.openxmlformats.org/officeDocument/2006/docPropsVTypes"/>
</file>